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Начальнику управления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образования администрации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  образования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Выселковский район</w:t>
      </w:r>
    </w:p>
    <w:p w14:paraId="05000000">
      <w:r>
        <w:rPr>
          <w:sz w:val="28"/>
        </w:rPr>
        <w:t xml:space="preserve">                                                                             Л.А.Семиной</w:t>
      </w:r>
    </w:p>
    <w:p w14:paraId="06000000"/>
    <w:p w14:paraId="07000000"/>
    <w:p w14:paraId="08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color w:val="000000"/>
          <w:sz w:val="28"/>
        </w:rPr>
        <w:t>»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B000000">
      <w:pPr>
        <w:ind/>
        <w:jc w:val="both"/>
        <w:rPr>
          <w:sz w:val="28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7</w:t>
      </w:r>
      <w:r>
        <w:rPr>
          <w:sz w:val="28"/>
        </w:rPr>
        <w:t xml:space="preserve"> июля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 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  (далее – Проект), направленный для подготовки настоящего Заключения управлением образования администрации муниципального образования Выселковский район (далее – Разработчик), и сообщает следующее.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0F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направлен разработчиком для проведения оценки регулирующего воздействия </w:t>
      </w:r>
      <w:r>
        <w:rPr>
          <w:rFonts w:ascii="Times New Roman" w:hAnsi="Times New Roman"/>
          <w:color w:val="000000"/>
          <w:sz w:val="28"/>
        </w:rPr>
        <w:t>впервые</w:t>
      </w:r>
      <w:r>
        <w:rPr>
          <w:rFonts w:ascii="Times New Roman" w:hAnsi="Times New Roman"/>
          <w:color w:val="000000"/>
          <w:sz w:val="28"/>
        </w:rPr>
        <w:t>.</w:t>
      </w:r>
    </w:p>
    <w:p w14:paraId="11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2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Порядка 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4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5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6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7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регулирования; </w:t>
      </w:r>
    </w:p>
    <w:p w14:paraId="18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количественная оценка потенциальных адресатов правового регулирования – </w:t>
      </w:r>
      <w:r>
        <w:rPr>
          <w:rFonts w:ascii="Times New Roman" w:hAnsi="Times New Roman"/>
          <w:sz w:val="28"/>
        </w:rPr>
        <w:t>не ограничено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;</w:t>
      </w:r>
    </w:p>
    <w:p w14:paraId="19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A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постановления, со дня обнародования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август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B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дополнительных расходов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регулирования, не предполагается;</w:t>
      </w:r>
    </w:p>
    <w:p w14:paraId="1C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1D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1E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1F000000">
      <w:p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rFonts w:ascii="Times New Roman" w:hAnsi="Times New Roman"/>
          <w:sz w:val="28"/>
        </w:rPr>
        <w:t>юридически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лица, индивидуальны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физически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лица – производител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товаров, работ, услуг, оказывающие муниципальные услуги в социальной сфере в соответствии с социальным сертификатом.</w:t>
      </w:r>
      <w:r>
        <w:rPr>
          <w:sz w:val="28"/>
        </w:rPr>
        <w:t xml:space="preserve">  </w:t>
      </w:r>
    </w:p>
    <w:p w14:paraId="20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1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невозможность </w:t>
      </w:r>
      <w:r>
        <w:rPr>
          <w:rFonts w:ascii="Times New Roman" w:hAnsi="Times New Roman"/>
          <w:sz w:val="28"/>
        </w:rPr>
        <w:t>предоставления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2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вышеуказанног</w:t>
      </w:r>
      <w:r>
        <w:rPr>
          <w:rFonts w:ascii="Times New Roman" w:hAnsi="Times New Roman"/>
          <w:sz w:val="28"/>
        </w:rPr>
        <w:t xml:space="preserve">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sz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Бюджетного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14:paraId="23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4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предлагаемого правового регулирования - </w:t>
      </w:r>
      <w:r>
        <w:rPr>
          <w:rFonts w:ascii="Times New Roman" w:hAnsi="Times New Roman"/>
          <w:sz w:val="28"/>
        </w:rPr>
        <w:t>предоставление субсидии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юридическим лицам, и</w:t>
      </w:r>
      <w:r>
        <w:rPr>
          <w:rFonts w:ascii="Times New Roman" w:hAnsi="Times New Roman"/>
          <w:sz w:val="28"/>
        </w:rPr>
        <w:t xml:space="preserve">ндивидуальным предпринимателям, </w:t>
      </w:r>
      <w:r>
        <w:rPr>
          <w:rFonts w:ascii="Times New Roman" w:hAnsi="Times New Roman"/>
          <w:sz w:val="28"/>
        </w:rPr>
        <w:t>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сертификатом.</w:t>
      </w:r>
    </w:p>
    <w:p w14:paraId="25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6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rFonts w:ascii="Times New Roman" w:hAnsi="Times New Roman"/>
          <w:sz w:val="28"/>
        </w:rPr>
        <w:t>устанавливающие новые обязанности для субъектов предпринимательской и иной экономической деятельности</w:t>
      </w:r>
      <w:r>
        <w:rPr>
          <w:sz w:val="28"/>
        </w:rPr>
        <w:t>:</w:t>
      </w:r>
    </w:p>
    <w:p w14:paraId="27000000">
      <w:pPr>
        <w:tabs>
          <w:tab w:leader="none" w:pos="1027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Субсидия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оказанием </w:t>
      </w:r>
      <w:r>
        <w:rPr>
          <w:rFonts w:ascii="Times New Roman" w:hAnsi="Times New Roman"/>
          <w:b w:val="0"/>
          <w:sz w:val="28"/>
        </w:rPr>
        <w:t>муниципальных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услуг в социальной сфере в соответствии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с социальным сертификатом  предоставляется на основании соглашения. </w:t>
      </w: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Перечисление субсидии получателю субсидии в соответствии </w:t>
      </w:r>
      <w:r>
        <w:rPr>
          <w:sz w:val="28"/>
        </w:rPr>
        <w:br/>
      </w:r>
      <w:r>
        <w:rPr>
          <w:sz w:val="28"/>
        </w:rPr>
        <w:t xml:space="preserve">с заключенным соглашением, </w:t>
      </w:r>
      <w:r>
        <w:rPr>
          <w:sz w:val="28"/>
        </w:rPr>
        <w:t xml:space="preserve">осуществляется </w:t>
      </w:r>
      <w:r>
        <w:rPr>
          <w:sz w:val="28"/>
        </w:rPr>
        <w:t xml:space="preserve">на счета, определенные </w:t>
      </w:r>
      <w:r>
        <w:rPr>
          <w:sz w:val="28"/>
        </w:rPr>
        <w:br/>
      </w:r>
      <w:r>
        <w:rPr>
          <w:sz w:val="28"/>
        </w:rPr>
        <w:t>с учетом положений,</w:t>
      </w:r>
      <w:r>
        <w:rPr>
          <w:sz w:val="28"/>
        </w:rPr>
        <w:t xml:space="preserve"> установленных бюджетным законодательством Российской Федерации.</w:t>
      </w:r>
    </w:p>
    <w:p w14:paraId="2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Получатель субсидии </w:t>
      </w:r>
      <w:r>
        <w:rPr>
          <w:sz w:val="28"/>
        </w:rPr>
        <w:t xml:space="preserve">ежегодно </w:t>
      </w:r>
      <w:r>
        <w:rPr>
          <w:sz w:val="28"/>
        </w:rPr>
        <w:t xml:space="preserve">не позднее </w:t>
      </w:r>
      <w:r>
        <w:rPr>
          <w:sz w:val="28"/>
        </w:rPr>
        <w:br/>
      </w:r>
      <w:r>
        <w:rPr>
          <w:sz w:val="28"/>
        </w:rPr>
        <w:t>10 рабочих дней,</w:t>
      </w:r>
      <w:r>
        <w:rPr>
          <w:sz w:val="28"/>
        </w:rPr>
        <w:t xml:space="preserve"> следующ</w:t>
      </w:r>
      <w:r>
        <w:rPr>
          <w:sz w:val="28"/>
        </w:rPr>
        <w:t>их</w:t>
      </w:r>
      <w:r>
        <w:rPr>
          <w:sz w:val="28"/>
        </w:rPr>
        <w:t xml:space="preserve"> за периодом, в котором осуществлялось оказание </w:t>
      </w:r>
      <w:r>
        <w:rPr>
          <w:sz w:val="28"/>
        </w:rPr>
        <w:t xml:space="preserve">муниципальной </w:t>
      </w:r>
      <w:r>
        <w:rPr>
          <w:sz w:val="28"/>
        </w:rPr>
        <w:t>услуги (частичное оказание),</w:t>
      </w:r>
      <w:r>
        <w:rPr>
          <w:sz w:val="28"/>
        </w:rPr>
        <w:t xml:space="preserve"> представляет в уполномоченный орган </w:t>
      </w:r>
      <w:r>
        <w:rPr>
          <w:sz w:val="28"/>
        </w:rPr>
        <w:t>отчет об исполнении соглашения по форме, определенной приложением к соглашению</w:t>
      </w:r>
      <w:r>
        <w:rPr>
          <w:sz w:val="28"/>
        </w:rPr>
        <w:t xml:space="preserve"> (далее - отчет), в порядке, установленном для заключения соглашения.</w:t>
      </w:r>
    </w:p>
    <w:p w14:paraId="2A000000">
      <w:pPr>
        <w:ind w:firstLine="851" w:left="0"/>
        <w:jc w:val="both"/>
        <w:rPr>
          <w:sz w:val="28"/>
        </w:rPr>
      </w:pPr>
    </w:p>
    <w:p w14:paraId="2B000000">
      <w:pPr>
        <w:tabs>
          <w:tab w:leader="none" w:pos="1027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      </w:t>
      </w:r>
    </w:p>
    <w:p w14:paraId="2C000000">
      <w:pPr>
        <w:pStyle w:val="Style_7"/>
        <w:ind/>
        <w:jc w:val="both"/>
        <w:rPr>
          <w:b w:val="0"/>
          <w:sz w:val="28"/>
        </w:rPr>
      </w:pPr>
      <w:r>
        <w:tab/>
      </w:r>
      <w:r>
        <w:rPr>
          <w:b w:val="0"/>
          <w:sz w:val="28"/>
        </w:rPr>
        <w:t>Изменение содержания и порядка реализации полномочий управления образования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2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</w:t>
      </w:r>
      <w:r>
        <w:rPr>
          <w:sz w:val="28"/>
        </w:rPr>
        <w:t>:</w:t>
      </w:r>
    </w:p>
    <w:p w14:paraId="2E000000">
      <w:pPr>
        <w:tabs>
          <w:tab w:leader="none" w:pos="1027" w:val="left"/>
        </w:tabs>
        <w:ind w:firstLine="0" w:left="34"/>
        <w:jc w:val="both"/>
        <w:rPr>
          <w:sz w:val="28"/>
        </w:rPr>
      </w:pPr>
    </w:p>
    <w:p w14:paraId="2F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Выявлены риски возникновения негативных последствий для получателей субсидий, связанные с правовой неопределенностью вводимых норм, которая приведет к затруднениям при заключении соглашения, предоставления отчетности. Так в </w:t>
      </w:r>
      <w:r>
        <w:rPr>
          <w:rFonts w:ascii="Times New Roman" w:hAnsi="Times New Roman"/>
          <w:b w:val="0"/>
          <w:sz w:val="28"/>
        </w:rPr>
        <w:t xml:space="preserve">Порядке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(далее – Порядок предоставления субсидий) по тексту </w:t>
      </w:r>
      <w:r>
        <w:rPr>
          <w:sz w:val="28"/>
        </w:rPr>
        <w:t>указывается, что</w:t>
      </w:r>
    </w:p>
    <w:p w14:paraId="30000000">
      <w:pPr>
        <w:tabs>
          <w:tab w:leader="none" w:pos="1027" w:val="left"/>
        </w:tabs>
        <w:ind w:firstLine="0" w:left="34"/>
        <w:jc w:val="both"/>
        <w:rPr>
          <w:rFonts w:ascii="Times New Roman" w:hAnsi="Times New Roman"/>
          <w:b w:val="0"/>
          <w:i w:val="1"/>
          <w:sz w:val="24"/>
        </w:rPr>
      </w:pPr>
      <w:r>
        <w:rPr>
          <w:sz w:val="28"/>
        </w:rPr>
        <w:t xml:space="preserve">       «</w:t>
      </w:r>
      <w:r>
        <w:rPr>
          <w:rFonts w:ascii="Times New Roman" w:hAnsi="Times New Roman"/>
          <w:b w:val="0"/>
          <w:i w:val="1"/>
          <w:sz w:val="24"/>
        </w:rPr>
        <w:t> 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Размер субсидии, предоставляемый </w:t>
      </w:r>
      <w:r>
        <w:rPr>
          <w:rFonts w:ascii="Times New Roman" w:hAnsi="Times New Roman"/>
          <w:b w:val="1"/>
          <w:i w:val="1"/>
          <w:sz w:val="24"/>
          <w:u w:val="single"/>
        </w:rPr>
        <w:t>i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-му получателю субсидии </w:t>
      </w:r>
      <w:r>
        <w:rPr>
          <w:rFonts w:ascii="Times New Roman" w:hAnsi="Times New Roman"/>
          <w:b w:val="1"/>
          <w:i w:val="1"/>
          <w:sz w:val="24"/>
          <w:u w:val="single"/>
        </w:rPr>
        <w:t>(</w:t>
      </w:r>
      <w:r>
        <w:rPr>
          <w:rFonts w:ascii="Times New Roman" w:hAnsi="Times New Roman"/>
          <w:b w:val="1"/>
          <w:i w:val="1"/>
          <w:sz w:val="24"/>
          <w:u w:val="single"/>
        </w:rPr>
        <w:t>Vi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) </w:t>
      </w:r>
      <w:r>
        <w:rPr>
          <w:rFonts w:ascii="Times New Roman" w:hAnsi="Times New Roman"/>
          <w:b w:val="1"/>
          <w:i w:val="1"/>
          <w:sz w:val="24"/>
          <w:u w:val="single"/>
        </w:rPr>
        <w:t>определяется в формируемом уполномоченным органом</w:t>
      </w:r>
      <w:r>
        <w:rPr>
          <w:rFonts w:ascii="Times New Roman" w:hAnsi="Times New Roman"/>
          <w:b w:val="0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расчете, форма которого утверждается в составе приложения к соглашению</w:t>
      </w:r>
      <w:r>
        <w:rPr>
          <w:rFonts w:ascii="Times New Roman" w:hAnsi="Times New Roman"/>
          <w:b w:val="0"/>
          <w:i w:val="1"/>
          <w:sz w:val="24"/>
        </w:rPr>
        <w:t xml:space="preserve"> по следующей формуле:.......»;</w:t>
      </w:r>
    </w:p>
    <w:p w14:paraId="31000000">
      <w:pPr>
        <w:tabs>
          <w:tab w:leader="none" w:pos="1027" w:val="left"/>
        </w:tabs>
        <w:ind w:firstLine="0" w:left="34"/>
        <w:jc w:val="both"/>
        <w:rPr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  «</w:t>
      </w:r>
      <w:r>
        <w:rPr>
          <w:i w:val="1"/>
          <w:sz w:val="24"/>
        </w:rPr>
        <w:t>Размер субсидий, предоставляемых</w:t>
      </w:r>
      <w:r>
        <w:rPr>
          <w:i w:val="1"/>
          <w:sz w:val="24"/>
        </w:rPr>
        <w:t xml:space="preserve"> в соответствии</w:t>
      </w:r>
      <w:r>
        <w:rPr>
          <w:b w:val="1"/>
          <w:i w:val="1"/>
          <w:sz w:val="24"/>
          <w:u w:val="single"/>
        </w:rPr>
        <w:t xml:space="preserve"> с соглашениями, </w:t>
      </w:r>
      <w:r>
        <w:rPr>
          <w:i w:val="1"/>
          <w:sz w:val="24"/>
        </w:rPr>
        <w:br/>
      </w:r>
      <w:r>
        <w:rPr>
          <w:i w:val="1"/>
          <w:sz w:val="24"/>
        </w:rPr>
        <w:t xml:space="preserve">не может превышать объем финансового обеспечения </w:t>
      </w:r>
      <w:r>
        <w:rPr>
          <w:i w:val="1"/>
          <w:sz w:val="24"/>
        </w:rPr>
        <w:t xml:space="preserve">муниципального </w:t>
      </w:r>
      <w:r>
        <w:rPr>
          <w:i w:val="1"/>
          <w:sz w:val="24"/>
        </w:rPr>
        <w:t>социального заказа на соответствующий год, в целях исполнения которого осуществляется отбор исполнителей услуг</w:t>
      </w:r>
      <w:r>
        <w:rPr>
          <w:i w:val="1"/>
          <w:sz w:val="24"/>
        </w:rPr>
        <w:t xml:space="preserve"> путем предоставления социального сертификата.»;</w:t>
      </w:r>
    </w:p>
    <w:p w14:paraId="32000000">
      <w:pPr>
        <w:tabs>
          <w:tab w:leader="none" w:pos="1027" w:val="left"/>
        </w:tabs>
        <w:ind w:firstLine="0" w:left="34"/>
        <w:jc w:val="both"/>
        <w:rPr>
          <w:i w:val="1"/>
          <w:sz w:val="24"/>
        </w:rPr>
      </w:pPr>
      <w:r>
        <w:rPr>
          <w:i w:val="1"/>
          <w:sz w:val="24"/>
        </w:rPr>
        <w:t xml:space="preserve">     «</w:t>
      </w:r>
      <w:r>
        <w:rPr>
          <w:i w:val="1"/>
          <w:sz w:val="24"/>
        </w:rPr>
        <w:t xml:space="preserve">Субсидия перечисляется уполномоченным органом в целях оплаты </w:t>
      </w:r>
      <w:r>
        <w:rPr>
          <w:b w:val="1"/>
          <w:i w:val="1"/>
          <w:sz w:val="24"/>
          <w:u w:val="single"/>
        </w:rPr>
        <w:t>соглашения</w:t>
      </w:r>
      <w:r>
        <w:rPr>
          <w:i w:val="1"/>
          <w:sz w:val="24"/>
        </w:rPr>
        <w:t xml:space="preserve"> в порядке финансового обеспечения затрат в сроки, установленные предусмотренным </w:t>
      </w:r>
      <w:r>
        <w:rPr>
          <w:b w:val="1"/>
          <w:i w:val="1"/>
          <w:sz w:val="24"/>
          <w:u w:val="single"/>
        </w:rPr>
        <w:t>в составе расчета планом-графиком перечисления субсидии</w:t>
      </w:r>
      <w:r>
        <w:rPr>
          <w:i w:val="1"/>
          <w:sz w:val="24"/>
        </w:rPr>
        <w:t>»;</w:t>
      </w:r>
    </w:p>
    <w:p w14:paraId="33000000">
      <w:pPr>
        <w:tabs>
          <w:tab w:leader="none" w:pos="1027" w:val="left"/>
        </w:tabs>
        <w:ind w:firstLine="0" w:left="34"/>
        <w:jc w:val="both"/>
        <w:rPr>
          <w:b w:val="1"/>
          <w:i w:val="1"/>
          <w:sz w:val="24"/>
          <w:u w:val="single"/>
        </w:rPr>
      </w:pPr>
      <w:r>
        <w:rPr>
          <w:i w:val="1"/>
          <w:sz w:val="24"/>
        </w:rPr>
        <w:t xml:space="preserve">        «</w:t>
      </w:r>
      <w:r>
        <w:rPr>
          <w:i w:val="1"/>
          <w:sz w:val="24"/>
        </w:rPr>
        <w:t xml:space="preserve">Получатель субсидии </w:t>
      </w:r>
      <w:r>
        <w:rPr>
          <w:i w:val="1"/>
          <w:sz w:val="24"/>
        </w:rPr>
        <w:t xml:space="preserve">ежегодно </w:t>
      </w:r>
      <w:r>
        <w:rPr>
          <w:i w:val="1"/>
          <w:sz w:val="24"/>
        </w:rPr>
        <w:t xml:space="preserve">не позднее </w:t>
      </w:r>
      <w:r>
        <w:rPr>
          <w:i w:val="1"/>
          <w:sz w:val="24"/>
        </w:rPr>
        <w:t>10 рабочих дней,</w:t>
      </w:r>
      <w:r>
        <w:rPr>
          <w:i w:val="1"/>
          <w:sz w:val="24"/>
        </w:rPr>
        <w:t xml:space="preserve"> следующ</w:t>
      </w:r>
      <w:r>
        <w:rPr>
          <w:i w:val="1"/>
          <w:sz w:val="24"/>
        </w:rPr>
        <w:t>их</w:t>
      </w:r>
      <w:r>
        <w:rPr>
          <w:i w:val="1"/>
          <w:sz w:val="24"/>
        </w:rPr>
        <w:t xml:space="preserve"> за периодом, в котором осуществлялось оказание </w:t>
      </w:r>
      <w:r>
        <w:rPr>
          <w:i w:val="1"/>
          <w:sz w:val="24"/>
        </w:rPr>
        <w:t xml:space="preserve">муниципальной </w:t>
      </w:r>
      <w:r>
        <w:rPr>
          <w:i w:val="1"/>
          <w:sz w:val="24"/>
        </w:rPr>
        <w:t>услуги (частичное оказание),</w:t>
      </w:r>
      <w:r>
        <w:rPr>
          <w:i w:val="1"/>
          <w:sz w:val="24"/>
        </w:rPr>
        <w:t xml:space="preserve"> </w:t>
      </w:r>
      <w:r>
        <w:rPr>
          <w:b w:val="1"/>
          <w:i w:val="1"/>
          <w:sz w:val="24"/>
          <w:u w:val="single"/>
        </w:rPr>
        <w:t xml:space="preserve">представляет в уполномоченный орган </w:t>
      </w:r>
      <w:r>
        <w:rPr>
          <w:b w:val="1"/>
          <w:i w:val="1"/>
          <w:sz w:val="24"/>
          <w:u w:val="single"/>
        </w:rPr>
        <w:t>отчет об исполнении соглашения по форме, определенной приложением к соглашению</w:t>
      </w:r>
      <w:r>
        <w:rPr>
          <w:b w:val="1"/>
          <w:i w:val="1"/>
          <w:sz w:val="24"/>
          <w:u w:val="single"/>
        </w:rPr>
        <w:t xml:space="preserve"> (далее - отчет), в порядке, установленном для заключения соглашения.»</w:t>
      </w:r>
    </w:p>
    <w:p w14:paraId="34000000">
      <w:pPr>
        <w:tabs>
          <w:tab w:leader="none" w:pos="1027" w:val="left"/>
        </w:tabs>
        <w:ind w:firstLine="0" w:left="34"/>
        <w:jc w:val="both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</w:t>
      </w:r>
    </w:p>
    <w:p w14:paraId="35000000">
      <w:pPr>
        <w:tabs>
          <w:tab w:leader="none" w:pos="1027" w:val="left"/>
        </w:tabs>
        <w:ind w:firstLine="0" w:left="34"/>
        <w:jc w:val="both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 Однако, форма соглашения, с соответствующими приложениями, не определена. Кроме того, в пункте 8 Порядка предоставления субсидий указано:</w:t>
      </w:r>
    </w:p>
    <w:p w14:paraId="36000000">
      <w:pPr>
        <w:tabs>
          <w:tab w:leader="none" w:pos="1027" w:val="left"/>
        </w:tabs>
        <w:ind w:firstLine="0" w:left="34"/>
        <w:jc w:val="both"/>
        <w:rPr>
          <w:i w:val="1"/>
          <w:sz w:val="24"/>
        </w:rPr>
      </w:pPr>
      <w:r>
        <w:rPr>
          <w:b w:val="0"/>
          <w:i w:val="1"/>
          <w:sz w:val="24"/>
          <w:u w:val="none"/>
        </w:rPr>
        <w:t>«</w:t>
      </w:r>
      <w:r>
        <w:rPr>
          <w:i w:val="1"/>
          <w:sz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i w:val="1"/>
          <w:sz w:val="24"/>
        </w:rPr>
        <w:br/>
      </w:r>
      <w:r>
        <w:rPr>
          <w:i w:val="1"/>
          <w:sz w:val="24"/>
        </w:rPr>
        <w:t xml:space="preserve">и </w:t>
      </w:r>
      <w:r>
        <w:rPr>
          <w:b w:val="1"/>
          <w:i w:val="1"/>
          <w:sz w:val="24"/>
          <w:u w:val="single"/>
        </w:rPr>
        <w:t>наличия требуемых документов.»</w:t>
      </w:r>
      <w:r>
        <w:rPr>
          <w:i w:val="1"/>
          <w:sz w:val="24"/>
        </w:rPr>
        <w:t xml:space="preserve">,  </w:t>
      </w:r>
      <w:r>
        <w:rPr>
          <w:i w:val="0"/>
          <w:sz w:val="28"/>
        </w:rPr>
        <w:t>но исчерпывающий перечень требуемых документов не раскрыт.</w:t>
      </w:r>
    </w:p>
    <w:p w14:paraId="37000000">
      <w:pPr>
        <w:tabs>
          <w:tab w:leader="none" w:pos="1027" w:val="left"/>
        </w:tabs>
        <w:ind w:firstLine="0" w:left="34"/>
        <w:jc w:val="both"/>
        <w:rPr>
          <w:i w:val="0"/>
          <w:sz w:val="28"/>
        </w:rPr>
      </w:pPr>
      <w:r>
        <w:rPr>
          <w:i w:val="0"/>
          <w:sz w:val="28"/>
        </w:rPr>
        <w:t xml:space="preserve">  Рекомендуем определить форму соглашения с соответствующими приложениями и перечень документов, предоставляемых в уполномоченный орган.</w:t>
      </w:r>
    </w:p>
    <w:p w14:paraId="38000000">
      <w:pPr>
        <w:tabs>
          <w:tab w:leader="none" w:pos="1027" w:val="left"/>
        </w:tabs>
        <w:ind w:firstLine="0" w:left="34"/>
        <w:jc w:val="both"/>
        <w:rPr>
          <w:sz w:val="28"/>
        </w:rPr>
      </w:pPr>
    </w:p>
    <w:p w14:paraId="39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 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среднего уровня сложности (менее 15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римерно 7</w:t>
      </w:r>
      <w:r>
        <w:rPr>
          <w:sz w:val="28"/>
        </w:rPr>
        <w:t>08,4</w:t>
      </w:r>
      <w:r>
        <w:rPr>
          <w:sz w:val="28"/>
        </w:rPr>
        <w:t xml:space="preserve"> </w:t>
      </w:r>
      <w:r>
        <w:rPr>
          <w:sz w:val="28"/>
        </w:rPr>
        <w:t>руб. на одного заявителя.</w:t>
      </w:r>
    </w:p>
    <w:p w14:paraId="3A000000">
      <w:pPr>
        <w:pStyle w:val="Style_8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3B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C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3D000000">
      <w:pPr>
        <w:pStyle w:val="Style_8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 документов (заключение соглашения)  предусмотренных проектом;</w:t>
      </w:r>
    </w:p>
    <w:p w14:paraId="3E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F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40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41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42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43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44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59504,8 руб.;</w:t>
      </w:r>
    </w:p>
    <w:p w14:paraId="45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354,2 руб. (59504,8 руб./21 рабочий день/8 час.);</w:t>
      </w:r>
    </w:p>
    <w:p w14:paraId="46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стоимость требования: 354,2 руб. (354,2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47000000">
      <w:pPr>
        <w:pStyle w:val="Style_8"/>
        <w:numPr>
          <w:numId w:val="2"/>
        </w:numPr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название требования: представление отчетности, документов  предусмотренных проектом;</w:t>
      </w:r>
    </w:p>
    <w:p w14:paraId="48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формирование информации;</w:t>
      </w:r>
    </w:p>
    <w:p w14:paraId="49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4A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тип информационного элемента: внутренние документы для хранения/передачи органам власти;</w:t>
      </w:r>
    </w:p>
    <w:p w14:paraId="4B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4C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4D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1</w:t>
      </w:r>
      <w:r>
        <w:rPr>
          <w:sz w:val="28"/>
        </w:rPr>
        <w:t xml:space="preserve"> чел./час; </w:t>
      </w:r>
    </w:p>
    <w:p w14:paraId="4E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среднемесячная заработная плата на одного работника по Выселковскому району– 59504,8 руб.;</w:t>
      </w:r>
    </w:p>
    <w:p w14:paraId="4F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354,2 руб. (59504,8 руб./21 рабочий день/8 час.);</w:t>
      </w:r>
    </w:p>
    <w:p w14:paraId="50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стоимость требования: 354,2 руб. (354,2 руб./час </w:t>
      </w:r>
      <w:r>
        <w:rPr>
          <w:sz w:val="28"/>
        </w:rPr>
        <w:t>x</w:t>
      </w:r>
      <w:r>
        <w:rPr>
          <w:sz w:val="28"/>
        </w:rPr>
        <w:t xml:space="preserve"> 1</w:t>
      </w:r>
      <w:r>
        <w:rPr>
          <w:sz w:val="28"/>
        </w:rPr>
        <w:t xml:space="preserve"> чел./час) на 1-го заявителя.</w:t>
      </w:r>
    </w:p>
    <w:p w14:paraId="51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52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>Общая стоимость требования: 708,4 руб. (354,2 руб.+ 354,2 руб.</w:t>
      </w:r>
      <w:r>
        <w:rPr>
          <w:sz w:val="28"/>
        </w:rPr>
        <w:t>) на 1-го заявителя.</w:t>
      </w:r>
    </w:p>
    <w:p w14:paraId="53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</w:p>
    <w:p w14:paraId="54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 Необоснованные расходы, связанные с регулирующим воздействием проекта, отсутствуют. </w:t>
      </w:r>
    </w:p>
    <w:p w14:paraId="55000000">
      <w:pPr>
        <w:pStyle w:val="Style_2"/>
        <w:ind w:firstLine="851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 предполагаются на </w:t>
      </w:r>
      <w:r>
        <w:rPr>
          <w:rFonts w:ascii="Times New Roman" w:hAnsi="Times New Roman"/>
          <w:b w:val="0"/>
          <w:sz w:val="28"/>
        </w:rPr>
        <w:t xml:space="preserve">предоставление субсидии </w:t>
      </w:r>
      <w:r>
        <w:rPr>
          <w:rFonts w:ascii="Times New Roman" w:hAnsi="Times New Roman"/>
          <w:b w:val="0"/>
          <w:sz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  <w:r>
        <w:rPr>
          <w:rFonts w:ascii="Times New Roman" w:hAnsi="Times New Roman"/>
          <w:b w:val="0"/>
          <w:sz w:val="28"/>
        </w:rPr>
        <w:t xml:space="preserve"> Осуществляются в пределах бюджетных ассигнований, предусмотренных решением </w:t>
      </w:r>
      <w:r>
        <w:rPr>
          <w:rFonts w:ascii="Times New Roman" w:hAnsi="Times New Roman"/>
          <w:b w:val="0"/>
          <w:sz w:val="28"/>
        </w:rPr>
        <w:t xml:space="preserve">Совета муниципального образования Выселковский район </w:t>
      </w:r>
      <w:r>
        <w:rPr>
          <w:rFonts w:ascii="Times New Roman" w:hAnsi="Times New Roman"/>
          <w:b w:val="0"/>
          <w:sz w:val="28"/>
        </w:rPr>
        <w:t>о местном бюджете муниципального образования Выселковский район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на текущий финансовый год и плановый </w:t>
      </w:r>
      <w:r>
        <w:rPr>
          <w:rFonts w:ascii="Times New Roman" w:hAnsi="Times New Roman"/>
          <w:b w:val="0"/>
          <w:color w:themeColor="text1" w:val="000000"/>
          <w:sz w:val="28"/>
        </w:rPr>
        <w:t>период,</w:t>
      </w:r>
      <w:r>
        <w:rPr>
          <w:rFonts w:ascii="Times New Roman" w:hAnsi="Times New Roman"/>
          <w:b w:val="0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и доведенных управлению образования</w:t>
      </w:r>
      <w:r>
        <w:rPr>
          <w:rFonts w:ascii="Times New Roman" w:hAnsi="Times New Roman"/>
          <w:b w:val="0"/>
          <w:sz w:val="28"/>
        </w:rPr>
        <w:t xml:space="preserve"> администрации муниципального образования Выселковский район</w:t>
      </w:r>
      <w:r>
        <w:rPr>
          <w:rFonts w:ascii="Times New Roman" w:hAnsi="Times New Roman"/>
          <w:b w:val="0"/>
          <w:i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лимитов бюджетных обязательств.</w:t>
      </w:r>
    </w:p>
    <w:p w14:paraId="56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 xml:space="preserve">муниципального нормативного правового акта, </w:t>
      </w:r>
      <w:r>
        <w:rPr>
          <w:rFonts w:ascii="Times New Roman" w:hAnsi="Times New Roman"/>
          <w:sz w:val="28"/>
        </w:rPr>
        <w:t>отсутствуют.</w:t>
      </w:r>
    </w:p>
    <w:p w14:paraId="57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сультации по проекту в период с 07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20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58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9_ch"/>
          <w:sz w:val="28"/>
        </w:rPr>
        <w:fldChar w:fldCharType="begin"/>
      </w:r>
      <w:r>
        <w:rPr>
          <w:rStyle w:val="Style_9_ch"/>
          <w:sz w:val="28"/>
        </w:rPr>
        <w:instrText>HYPERLINK "http://viselki.net"</w:instrText>
      </w:r>
      <w:r>
        <w:rPr>
          <w:rStyle w:val="Style_9_ch"/>
          <w:sz w:val="28"/>
        </w:rPr>
        <w:fldChar w:fldCharType="separate"/>
      </w:r>
      <w:r>
        <w:rPr>
          <w:rStyle w:val="Style_9_ch"/>
          <w:sz w:val="28"/>
        </w:rPr>
        <w:t>http</w:t>
      </w:r>
      <w:r>
        <w:rPr>
          <w:rStyle w:val="Style_9_ch"/>
          <w:sz w:val="28"/>
        </w:rPr>
        <w:t>://</w:t>
      </w:r>
      <w:r>
        <w:rPr>
          <w:rStyle w:val="Style_9_ch"/>
          <w:sz w:val="28"/>
        </w:rPr>
        <w:t>viselki</w:t>
      </w:r>
      <w:r>
        <w:rPr>
          <w:rStyle w:val="Style_9_ch"/>
          <w:sz w:val="28"/>
        </w:rPr>
        <w:t>.</w:t>
      </w:r>
      <w:r>
        <w:rPr>
          <w:rStyle w:val="Style_9_ch"/>
          <w:sz w:val="28"/>
        </w:rPr>
        <w:t>net</w:t>
      </w:r>
      <w:r>
        <w:rPr>
          <w:rStyle w:val="Style_9_ch"/>
          <w:sz w:val="28"/>
        </w:rPr>
        <w:fldChar w:fldCharType="end"/>
      </w:r>
      <w:r>
        <w:rPr>
          <w:sz w:val="28"/>
        </w:rPr>
        <w:t>).</w:t>
      </w:r>
    </w:p>
    <w:p w14:paraId="59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5A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5B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 наличии в представленном проекте нормативного правового акта положений, указанных в пункте 4.1 Порядка, и о невозможности его дальнейшего согласования.</w:t>
      </w:r>
    </w:p>
    <w:p w14:paraId="5C000000">
      <w:pPr>
        <w:ind w:firstLine="851" w:left="0"/>
        <w:jc w:val="both"/>
        <w:rPr>
          <w:sz w:val="28"/>
        </w:rPr>
      </w:pPr>
      <w:r>
        <w:rPr>
          <w:sz w:val="28"/>
        </w:rPr>
        <w:t>Исходя из вышеизложенного, уполномоченный орган возвращает разработчику проект муниципального нормативного правового акта на доработку.</w:t>
      </w:r>
    </w:p>
    <w:p w14:paraId="5D000000">
      <w:pPr>
        <w:ind w:firstLine="851" w:left="0"/>
        <w:jc w:val="both"/>
        <w:rPr>
          <w:sz w:val="28"/>
        </w:rPr>
      </w:pPr>
    </w:p>
    <w:p w14:paraId="5E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5F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60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6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62000000">
      <w:pPr>
        <w:rPr>
          <w:color w:val="000000"/>
          <w:sz w:val="28"/>
        </w:rPr>
      </w:pPr>
    </w:p>
    <w:p w14:paraId="63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27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.2023</w:t>
      </w:r>
    </w:p>
    <w:p w14:paraId="64000000">
      <w:pPr>
        <w:rPr>
          <w:color w:val="000000"/>
          <w:sz w:val="20"/>
        </w:rPr>
      </w:pPr>
    </w:p>
    <w:p w14:paraId="65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0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17" w:type="paragraph">
    <w:name w:val="Гипертекстовая ссылка"/>
    <w:link w:val="Style_17_ch"/>
    <w:rPr>
      <w:b w:val="1"/>
      <w:color w:val="106BBE"/>
    </w:rPr>
  </w:style>
  <w:style w:styleId="Style_17_ch" w:type="character">
    <w:name w:val="Гипертекстовая ссылка"/>
    <w:link w:val="Style_17"/>
    <w:rPr>
      <w:b w:val="1"/>
      <w:color w:val="106BBE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8" w:type="paragraph">
    <w:name w:val="Основной текст1"/>
    <w:basedOn w:val="Style_10"/>
    <w:link w:val="Style_8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8_ch" w:type="character">
    <w:name w:val="Основной текст1"/>
    <w:basedOn w:val="Style_10_ch"/>
    <w:link w:val="Style_8"/>
    <w:rPr>
      <w:color w:val="000000"/>
      <w:sz w:val="27"/>
    </w:rPr>
  </w:style>
  <w:style w:styleId="Style_18" w:type="paragraph">
    <w:name w:val="toc 3"/>
    <w:next w:val="Style_10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10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1" w:type="paragraph">
    <w:name w:val="heading 1"/>
    <w:basedOn w:val="Style_10"/>
    <w:next w:val="Style_10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10_ch"/>
    <w:link w:val="Style_1"/>
    <w:rPr>
      <w:b w:val="1"/>
      <w:color w:val="000000"/>
      <w:spacing w:val="-16"/>
      <w:sz w:val="28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0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Normal (Web)"/>
    <w:basedOn w:val="Style_10"/>
    <w:link w:val="Style_23_ch"/>
    <w:pPr>
      <w:spacing w:after="119" w:beforeAutospacing="on"/>
      <w:ind/>
    </w:pPr>
  </w:style>
  <w:style w:styleId="Style_23_ch" w:type="character">
    <w:name w:val="Normal (Web)"/>
    <w:basedOn w:val="Style_10_ch"/>
    <w:link w:val="Style_23"/>
  </w:style>
  <w:style w:styleId="Style_24" w:type="paragraph">
    <w:name w:val="toc 9"/>
    <w:next w:val="Style_10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25" w:type="paragraph">
    <w:name w:val="toc 8"/>
    <w:next w:val="Style_10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Indent"/>
    <w:basedOn w:val="Style_10"/>
    <w:link w:val="Style_26_ch"/>
    <w:pPr>
      <w:ind w:firstLine="720" w:left="0"/>
      <w:jc w:val="both"/>
    </w:pPr>
    <w:rPr>
      <w:sz w:val="28"/>
    </w:rPr>
  </w:style>
  <w:style w:styleId="Style_26_ch" w:type="character">
    <w:name w:val="Body Text Indent"/>
    <w:basedOn w:val="Style_10_ch"/>
    <w:link w:val="Style_26"/>
    <w:rPr>
      <w:sz w:val="28"/>
    </w:rPr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27" w:type="paragraph">
    <w:name w:val="toc 5"/>
    <w:next w:val="Style_10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10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header"/>
    <w:basedOn w:val="Style_10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header"/>
    <w:basedOn w:val="Style_10_ch"/>
    <w:link w:val="Style_29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30" w:type="paragraph">
    <w:name w:val="Title"/>
    <w:next w:val="Style_10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0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2" w:type="paragraph">
    <w:name w:val="Нормальный (таблица)"/>
    <w:basedOn w:val="Style_10"/>
    <w:next w:val="Style_10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10_ch"/>
    <w:link w:val="Style_2"/>
    <w:rPr>
      <w:rFonts w:ascii="Arial" w:hAnsi="Arial"/>
    </w:rPr>
  </w:style>
  <w:style w:styleId="Style_32" w:type="paragraph">
    <w:name w:val="heading 2"/>
    <w:next w:val="Style_10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2023-07-27T10:32:15Z</dcterms:modified>
</cp:coreProperties>
</file>