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Начальнику управления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образования администрации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5000000">
      <w:r>
        <w:rPr>
          <w:sz w:val="28"/>
        </w:rPr>
        <w:t xml:space="preserve">                                                                             Л.А.Семиной</w:t>
      </w: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</w:t>
      </w:r>
      <w:r>
        <w:rPr>
          <w:color w:val="000000"/>
          <w:sz w:val="28"/>
        </w:rPr>
        <w:t>»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B000000">
      <w:pPr>
        <w:ind/>
        <w:jc w:val="both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23</w:t>
      </w:r>
      <w:r>
        <w:rPr>
          <w:sz w:val="28"/>
        </w:rPr>
        <w:t xml:space="preserve"> ноября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управлением образования администрации муниципального образования Выселковский район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впервые.</w:t>
      </w:r>
    </w:p>
    <w:p w14:paraId="11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4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6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7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8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9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1295,4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расчете 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 xml:space="preserve">, связанные с предоставлением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пакета документов 2 раза в год, предусмотренного Проектом;</w:t>
      </w:r>
    </w:p>
    <w:p w14:paraId="1A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B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C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D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исполнители муниципальных услуг - юридическое лицо, в том числе государственное (муниципальное) учреждение, либо индивидуальный предприниматель; получатели социального сертификата, уполномоченный орган.</w:t>
      </w:r>
      <w:r>
        <w:rPr>
          <w:sz w:val="28"/>
        </w:rPr>
        <w:t xml:space="preserve">  </w:t>
      </w:r>
    </w:p>
    <w:p w14:paraId="1E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1F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невозможность</w:t>
      </w:r>
      <w:r>
        <w:rPr>
          <w:rFonts w:ascii="Times New Roman" w:hAnsi="Times New Roman"/>
          <w:sz w:val="28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</w:r>
    </w:p>
    <w:p w14:paraId="20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невозможность</w:t>
      </w:r>
      <w:r>
        <w:rPr>
          <w:rFonts w:ascii="Times New Roman" w:hAnsi="Times New Roman"/>
          <w:sz w:val="28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21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обусловлено необходимостью реализации Федерального закона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>
        <w:rPr>
          <w:rFonts w:ascii="Times New Roman" w:hAnsi="Times New Roman"/>
          <w:sz w:val="28"/>
        </w:rPr>
        <w:t>№ 189-ФЗ</w:t>
      </w:r>
      <w:r>
        <w:rPr>
          <w:rFonts w:ascii="Times New Roman" w:hAnsi="Times New Roman"/>
          <w:sz w:val="28"/>
        </w:rPr>
        <w:t xml:space="preserve">), Федеральным законом от 29 декабря 2012 года № 273-ФЗ «Об образовании в Российской Федерации», постановлением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2 мая 2023 года № 568 «Об организации оказания муниципальных услуг в социальной сфере на территории муниципального образования» (далее – постановление МО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№ 568).</w:t>
      </w:r>
    </w:p>
    <w:p w14:paraId="2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Правила формирования в электронном виде социальных сертификатов на получение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«Реализация дополнительных общеразвивающих программ» и реестра их получателей ( далее - </w:t>
      </w:r>
      <w:r>
        <w:rPr>
          <w:rFonts w:ascii="Times New Roman" w:hAnsi="Times New Roman"/>
          <w:sz w:val="28"/>
        </w:rPr>
        <w:t>Правила формирования в электронном виде социальных сертификатов)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Порядок формирования реестра исполнителей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«Реализация дополнительных общеразвивающих программ» в соответствии с социальным сертификатом (далее - </w:t>
      </w:r>
      <w:r>
        <w:rPr>
          <w:rFonts w:ascii="Times New Roman" w:hAnsi="Times New Roman"/>
          <w:sz w:val="28"/>
        </w:rPr>
        <w:t xml:space="preserve">Порядок формирования реестра исполнителей </w:t>
      </w:r>
      <w:r>
        <w:rPr>
          <w:rFonts w:ascii="Times New Roman" w:hAnsi="Times New Roman"/>
          <w:sz w:val="28"/>
        </w:rPr>
        <w:t xml:space="preserve">услуги)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 xml:space="preserve"> не утверждены.</w:t>
      </w:r>
    </w:p>
    <w:p w14:paraId="23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Правила формирования в электронном виде социальных сертификатов, </w:t>
      </w:r>
      <w:r>
        <w:rPr>
          <w:rFonts w:ascii="Times New Roman" w:hAnsi="Times New Roman"/>
          <w:sz w:val="28"/>
        </w:rPr>
        <w:t xml:space="preserve">Порядок формирования реестра исполнителей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val="000000"/>
          <w:sz w:val="28"/>
        </w:rPr>
        <w:t>.</w:t>
      </w:r>
    </w:p>
    <w:p w14:paraId="24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5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Цель проекта отвечает </w:t>
      </w:r>
      <w:r>
        <w:rPr>
          <w:rFonts w:ascii="Times New Roman" w:hAnsi="Times New Roman"/>
          <w:sz w:val="28"/>
        </w:rPr>
        <w:t xml:space="preserve">принципам правового регулирования, установленным законодательством Российской Федерации и Краснодарского края, и заключается в </w:t>
      </w:r>
      <w:r>
        <w:rPr>
          <w:rFonts w:ascii="Times New Roman" w:hAnsi="Times New Roman"/>
          <w:sz w:val="28"/>
        </w:rPr>
        <w:t>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</w:r>
    </w:p>
    <w:p w14:paraId="26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формировании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27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rFonts w:ascii="Times New Roman" w:hAnsi="Times New Roman"/>
          <w:sz w:val="28"/>
        </w:rPr>
        <w:t>устанавливающие новые обязанности для субъектов предпринимательской и иной экономической деятельности</w:t>
      </w:r>
      <w:r>
        <w:rPr>
          <w:sz w:val="28"/>
        </w:rPr>
        <w:t>:</w:t>
      </w:r>
    </w:p>
    <w:p w14:paraId="28000000">
      <w:pPr>
        <w:numPr>
          <w:numId w:val="2"/>
        </w:num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Правилами формирования в электронном виде социальных сертификатов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заключение договора об образовании между получателем социального сертификата, его законным представителем и исполнителем услуг; формирование запросов в адрес уполномоченного органа о возможности заключения договора об образовании посредством информационной системы «Навигатор дополнительного образования д</w:t>
      </w:r>
      <w:r>
        <w:rPr>
          <w:rFonts w:ascii="Times New Roman" w:hAnsi="Times New Roman"/>
          <w:b w:val="0"/>
          <w:sz w:val="28"/>
        </w:rPr>
        <w:t xml:space="preserve">етей Краснодарского края»; уведомление уполномоченного органа о поступивших заявлениях о зачислении на дополнительную общеразвивающую  программу, реализуемую в рамках социального заказа; расторжение </w:t>
      </w:r>
      <w:r>
        <w:rPr>
          <w:rFonts w:ascii="Times New Roman" w:hAnsi="Times New Roman"/>
          <w:sz w:val="28"/>
        </w:rPr>
        <w:t>договора об образовании</w:t>
      </w:r>
      <w:r>
        <w:rPr>
          <w:sz w:val="28"/>
        </w:rPr>
        <w:t>;</w:t>
      </w:r>
    </w:p>
    <w:p w14:paraId="29000000">
      <w:pPr>
        <w:numPr>
          <w:numId w:val="2"/>
        </w:num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Порядком формирования реестра исполнителей </w:t>
      </w:r>
      <w:r>
        <w:rPr>
          <w:rFonts w:ascii="Times New Roman" w:hAnsi="Times New Roman"/>
          <w:sz w:val="28"/>
        </w:rPr>
        <w:t xml:space="preserve">услуги – подача заявки  на включение исполнителей услуги в Реестр исполнителей услуги; получение </w:t>
      </w:r>
      <w:r>
        <w:rPr>
          <w:rFonts w:ascii="Times New Roman" w:hAnsi="Times New Roman"/>
          <w:sz w:val="28"/>
        </w:rPr>
        <w:t xml:space="preserve">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программ; </w:t>
      </w:r>
      <w:r>
        <w:rPr>
          <w:sz w:val="28"/>
        </w:rPr>
        <w:t xml:space="preserve">подача заявления о включении сведений о дополнительной общеразвивающей программе в раздел III «Сведения о государственной (муниципальной) услуге в социальной сфере и условиях ее оказания», предоставление дополнительной общеразвивающей программы; подача заявления </w:t>
      </w:r>
      <w:r>
        <w:rPr>
          <w:rFonts w:ascii="Times New Roman" w:hAnsi="Times New Roman"/>
          <w:sz w:val="28"/>
        </w:rPr>
        <w:t xml:space="preserve"> об изменении сведений о дополнительной общеразвивающей программе, содержащее новые, измененные сведения; </w:t>
      </w:r>
    </w:p>
    <w:p w14:paraId="2A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</w:p>
    <w:p w14:paraId="2B000000">
      <w:pPr>
        <w:tabs>
          <w:tab w:leader="none" w:pos="1027" w:val="left"/>
        </w:tabs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Содержание и порядок реализации полномочий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управления образования администрации муниципального образования Выселковский район </w:t>
      </w:r>
      <w:r>
        <w:rPr>
          <w:sz w:val="28"/>
        </w:rPr>
        <w:br/>
      </w:r>
      <w:r>
        <w:rPr>
          <w:sz w:val="28"/>
        </w:rPr>
        <w:t xml:space="preserve">в отношениях с указанными субъектами изменяются в части </w:t>
      </w:r>
      <w:r>
        <w:rPr>
          <w:rFonts w:ascii="Times New Roman" w:hAnsi="Times New Roman"/>
          <w:sz w:val="28"/>
        </w:rPr>
        <w:t>рассмотрения заявлений от получателей социального сертификата, формирование информации, включаемой в реестр получателей социального сертификата, уведомление и предоставление информации, предусмотренной проектом рассматриваемого НПА, получателю социального сертификата и исполнителю услуги;  формирование, заключение, расторжение договора об образовании, формирование реестра исполнителей услуг; иные полномочия в рамках утверждаемого постановления</w:t>
      </w:r>
      <w:r>
        <w:rPr>
          <w:sz w:val="28"/>
        </w:rPr>
        <w:t>.</w:t>
      </w:r>
    </w:p>
    <w:p w14:paraId="2C000000">
      <w:pPr>
        <w:tabs>
          <w:tab w:leader="none" w:pos="1027" w:val="left"/>
        </w:tabs>
        <w:ind/>
        <w:jc w:val="both"/>
        <w:rPr>
          <w:rFonts w:ascii="Times New Roman" w:hAnsi="Times New Roman"/>
          <w:sz w:val="28"/>
        </w:rPr>
      </w:pP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отсутствуют.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 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(менее 15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римерно </w:t>
      </w:r>
      <w:r>
        <w:rPr>
          <w:sz w:val="28"/>
        </w:rPr>
        <w:t>42465,7</w:t>
      </w:r>
      <w:r>
        <w:rPr>
          <w:sz w:val="28"/>
        </w:rPr>
        <w:t xml:space="preserve"> </w:t>
      </w:r>
      <w:r>
        <w:rPr>
          <w:sz w:val="28"/>
        </w:rPr>
        <w:t>руб. на одного заявителя.</w:t>
      </w:r>
    </w:p>
    <w:p w14:paraId="2F000000">
      <w:pPr>
        <w:pStyle w:val="Style_4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0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1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2000000">
      <w:pPr>
        <w:pStyle w:val="Style_4"/>
        <w:numPr>
          <w:numId w:val="3"/>
        </w:numPr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название требования: подача запросов, заявок, уведомлений в адрес уполномоченного органа, </w:t>
      </w:r>
      <w:r>
        <w:rPr>
          <w:rFonts w:ascii="Times New Roman" w:hAnsi="Times New Roman"/>
          <w:sz w:val="28"/>
        </w:rPr>
        <w:t>заключение договора об образовани</w:t>
      </w:r>
      <w:r>
        <w:rPr>
          <w:sz w:val="28"/>
        </w:rPr>
        <w:t>и;</w:t>
      </w:r>
    </w:p>
    <w:p w14:paraId="33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4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5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6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7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8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1,5</w:t>
      </w:r>
      <w:r>
        <w:rPr>
          <w:sz w:val="28"/>
        </w:rPr>
        <w:t xml:space="preserve"> чел./час; </w:t>
      </w:r>
    </w:p>
    <w:p w14:paraId="39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в сфере образования по Выселковскому району– 36272 руб.;</w:t>
      </w:r>
    </w:p>
    <w:p w14:paraId="3A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средняя стоимость часа работы: 215,9 руб. (36272 руб./21 рабочий день/8 час.);</w:t>
      </w:r>
    </w:p>
    <w:p w14:paraId="3B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стоимость требования:323,85 руб. (215,9 руб./час </w:t>
      </w:r>
      <w:r>
        <w:rPr>
          <w:sz w:val="28"/>
        </w:rPr>
        <w:t>x</w:t>
      </w:r>
      <w:r>
        <w:rPr>
          <w:sz w:val="28"/>
        </w:rPr>
        <w:t xml:space="preserve"> 1,5</w:t>
      </w:r>
      <w:r>
        <w:rPr>
          <w:sz w:val="28"/>
        </w:rPr>
        <w:t xml:space="preserve"> чел./час) на 1-го заявителя.</w:t>
      </w:r>
    </w:p>
    <w:p w14:paraId="3C000000">
      <w:pPr>
        <w:pStyle w:val="Style_4"/>
        <w:numPr>
          <w:numId w:val="3"/>
        </w:numPr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>название требования: разработка и представление дополнительной общеразвивающей программы;</w:t>
      </w:r>
    </w:p>
    <w:p w14:paraId="3D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тип требования: формирование информации;</w:t>
      </w:r>
    </w:p>
    <w:p w14:paraId="3E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F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40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41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42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действия:</w:t>
      </w:r>
      <w:r>
        <w:rPr>
          <w:sz w:val="28"/>
        </w:rPr>
        <w:t xml:space="preserve"> </w:t>
      </w:r>
      <w:r>
        <w:rPr>
          <w:sz w:val="28"/>
        </w:rPr>
        <w:t xml:space="preserve"> разработка и представление  через программный продукт дополнительной общеразвивающей программы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16,5</w:t>
      </w:r>
      <w:r>
        <w:rPr>
          <w:sz w:val="28"/>
        </w:rPr>
        <w:t xml:space="preserve"> чел./час; </w:t>
      </w:r>
    </w:p>
    <w:p w14:paraId="43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среднемесячная заработная плата на одного работника </w:t>
      </w:r>
      <w:r>
        <w:rPr>
          <w:sz w:val="28"/>
        </w:rPr>
        <w:t xml:space="preserve">в сфере образования </w:t>
      </w:r>
      <w:r>
        <w:rPr>
          <w:sz w:val="28"/>
        </w:rPr>
        <w:t>по Выселковскому району– 36272 руб.;</w:t>
      </w:r>
    </w:p>
    <w:p w14:paraId="44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средняя стоимость часа работы: </w:t>
      </w:r>
      <w:r>
        <w:rPr>
          <w:sz w:val="28"/>
        </w:rPr>
        <w:t>215,9 руб. (36272 руб./21 рабочий день/8 час.);</w:t>
      </w:r>
    </w:p>
    <w:p w14:paraId="45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jc w:val="lef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стоимость требования: </w:t>
      </w:r>
      <w:r>
        <w:rPr>
          <w:sz w:val="28"/>
        </w:rPr>
        <w:t>3562,35</w:t>
      </w:r>
      <w:r>
        <w:rPr>
          <w:sz w:val="28"/>
        </w:rPr>
        <w:t xml:space="preserve"> руб.</w:t>
      </w:r>
      <w:r>
        <w:rPr>
          <w:sz w:val="28"/>
        </w:rPr>
        <w:t xml:space="preserve"> (215,9 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16,5</w:t>
      </w:r>
      <w:r>
        <w:rPr>
          <w:sz w:val="28"/>
        </w:rPr>
        <w:t xml:space="preserve"> чел./час</w:t>
      </w:r>
      <w:r>
        <w:rPr>
          <w:sz w:val="28"/>
        </w:rPr>
        <w:t>) на 1-го заявителя.</w:t>
      </w:r>
    </w:p>
    <w:p w14:paraId="46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47000000">
      <w:pPr>
        <w:pStyle w:val="Style_4"/>
        <w:numPr>
          <w:numId w:val="3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название требования: оформление лицензии </w:t>
      </w:r>
      <w:r>
        <w:rPr>
          <w:rFonts w:ascii="Times New Roman" w:hAnsi="Times New Roman"/>
          <w:sz w:val="28"/>
        </w:rPr>
        <w:t>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программ;</w:t>
      </w:r>
    </w:p>
    <w:p w14:paraId="48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</w:t>
      </w:r>
      <w:r>
        <w:rPr>
          <w:sz w:val="28"/>
        </w:rPr>
        <w:t xml:space="preserve"> оформление лицензии</w:t>
      </w:r>
      <w:r>
        <w:rPr>
          <w:sz w:val="28"/>
        </w:rPr>
        <w:t>;</w:t>
      </w:r>
    </w:p>
    <w:p w14:paraId="49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</w:t>
      </w:r>
      <w:r>
        <w:rPr>
          <w:sz w:val="28"/>
        </w:rPr>
        <w:t>содержательное</w:t>
      </w:r>
      <w:r>
        <w:rPr>
          <w:sz w:val="28"/>
        </w:rPr>
        <w:t>;</w:t>
      </w:r>
    </w:p>
    <w:p w14:paraId="4A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4B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 1 раз;</w:t>
      </w:r>
    </w:p>
    <w:p w14:paraId="4C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  <w:shd w:fill="FF6350" w:val="clear"/>
        </w:rPr>
      </w:pPr>
      <w:r>
        <w:rPr>
          <w:sz w:val="28"/>
        </w:rPr>
        <w:t xml:space="preserve">  </w:t>
      </w:r>
      <w:r>
        <w:rPr>
          <w:sz w:val="28"/>
        </w:rPr>
        <w:t>действия:</w:t>
      </w:r>
      <w:r>
        <w:rPr>
          <w:sz w:val="28"/>
        </w:rPr>
        <w:t xml:space="preserve"> </w:t>
      </w:r>
      <w:r>
        <w:rPr>
          <w:sz w:val="28"/>
        </w:rPr>
        <w:t xml:space="preserve"> подготовка пакета документов для обращения в специализированную организацию, оформляющую лицензию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 5 чел./час;</w:t>
      </w:r>
    </w:p>
    <w:p w14:paraId="4D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  <w:shd w:fill="FF6350" w:val="clear"/>
        </w:rPr>
      </w:pPr>
      <w:r>
        <w:rPr>
          <w:sz w:val="28"/>
        </w:rPr>
        <w:t xml:space="preserve">          получение лицензии – 37500 руб ( 30000 руб.- стоимость лицензии+  7500 руб.– </w:t>
      </w:r>
      <w:r>
        <w:rPr>
          <w:sz w:val="28"/>
        </w:rPr>
        <w:t xml:space="preserve">госпошлина).    </w:t>
      </w:r>
    </w:p>
    <w:p w14:paraId="4E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среднемесячная заработная плата на одного работника </w:t>
      </w:r>
      <w:r>
        <w:rPr>
          <w:sz w:val="28"/>
        </w:rPr>
        <w:t xml:space="preserve">в сфере образования </w:t>
      </w:r>
      <w:r>
        <w:rPr>
          <w:sz w:val="28"/>
        </w:rPr>
        <w:t>по Выселковскому району– 36272 руб.;</w:t>
      </w:r>
    </w:p>
    <w:p w14:paraId="4F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средняя стоимость часа работы: </w:t>
      </w:r>
      <w:r>
        <w:rPr>
          <w:sz w:val="28"/>
        </w:rPr>
        <w:t>215,9 руб. (36272 руб./21 рабочий день/8 час.);</w:t>
      </w:r>
    </w:p>
    <w:p w14:paraId="50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стоимость требования: 38579,5 руб (</w:t>
      </w:r>
      <w:r>
        <w:rPr>
          <w:sz w:val="28"/>
        </w:rPr>
        <w:t xml:space="preserve">215,9 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5 чел./час + 37500 руб</w:t>
      </w:r>
      <w:r>
        <w:rPr>
          <w:sz w:val="28"/>
        </w:rPr>
        <w:t>)</w:t>
      </w:r>
      <w:r>
        <w:rPr>
          <w:sz w:val="28"/>
        </w:rPr>
        <w:t xml:space="preserve"> на 1-го заявителя.</w:t>
      </w:r>
    </w:p>
    <w:p w14:paraId="51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Общая стоимость требования: 42465,7 руб. (</w:t>
      </w:r>
      <w:r>
        <w:rPr>
          <w:sz w:val="28"/>
        </w:rPr>
        <w:t>323,85 руб.</w:t>
      </w:r>
      <w:r>
        <w:rPr>
          <w:sz w:val="28"/>
        </w:rPr>
        <w:t>+ 3562,35 руб. +</w:t>
      </w:r>
      <w:r>
        <w:rPr>
          <w:sz w:val="28"/>
        </w:rPr>
        <w:t xml:space="preserve"> 38579,5 руб.</w:t>
      </w:r>
      <w:r>
        <w:rPr>
          <w:sz w:val="28"/>
        </w:rPr>
        <w:t>) на 1-го заявителя.</w:t>
      </w:r>
    </w:p>
    <w:p w14:paraId="52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53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Необоснованные расходы, связанные с регулирующим воздействием проекта, отсутствуют. </w:t>
      </w:r>
    </w:p>
    <w:p w14:paraId="54000000">
      <w:pPr>
        <w:pStyle w:val="Style_2"/>
        <w:ind w:firstLine="851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 отсутствуют. </w:t>
      </w: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55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23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06</w:t>
      </w:r>
      <w:r>
        <w:rPr>
          <w:color w:val="000000"/>
          <w:sz w:val="28"/>
        </w:rPr>
        <w:t>.12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56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"http://viselki.net"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</w:t>
      </w:r>
      <w:r>
        <w:rPr>
          <w:rStyle w:val="Style_5_ch"/>
          <w:sz w:val="28"/>
        </w:rPr>
        <w:t>://</w:t>
      </w:r>
      <w:r>
        <w:rPr>
          <w:rStyle w:val="Style_5_ch"/>
          <w:sz w:val="28"/>
        </w:rPr>
        <w:t>viselki</w:t>
      </w:r>
      <w:r>
        <w:rPr>
          <w:rStyle w:val="Style_5_ch"/>
          <w:sz w:val="28"/>
        </w:rPr>
        <w:t>.</w:t>
      </w:r>
      <w:r>
        <w:rPr>
          <w:rStyle w:val="Style_5_ch"/>
          <w:sz w:val="28"/>
        </w:rPr>
        <w:t>net</w:t>
      </w:r>
      <w:r>
        <w:rPr>
          <w:rStyle w:val="Style_5_ch"/>
          <w:sz w:val="28"/>
        </w:rPr>
        <w:fldChar w:fldCharType="end"/>
      </w:r>
      <w:r>
        <w:rPr>
          <w:sz w:val="28"/>
        </w:rPr>
        <w:t>).</w:t>
      </w:r>
    </w:p>
    <w:p w14:paraId="57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58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59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5A000000">
      <w:pPr>
        <w:rPr>
          <w:sz w:val="28"/>
        </w:rPr>
      </w:pPr>
    </w:p>
    <w:p w14:paraId="5B000000">
      <w:pPr>
        <w:rPr>
          <w:sz w:val="28"/>
        </w:rPr>
      </w:pPr>
    </w:p>
    <w:p w14:paraId="5C000000">
      <w:pPr>
        <w:rPr>
          <w:sz w:val="28"/>
        </w:rPr>
      </w:pPr>
    </w:p>
    <w:p w14:paraId="5D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E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F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6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61000000">
      <w:pPr>
        <w:rPr>
          <w:color w:val="000000"/>
          <w:sz w:val="28"/>
        </w:rPr>
      </w:pPr>
    </w:p>
    <w:p w14:paraId="62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13</w:t>
      </w:r>
      <w:r>
        <w:rPr>
          <w:color w:val="000000"/>
          <w:sz w:val="28"/>
        </w:rPr>
        <w:t>.12</w:t>
      </w:r>
      <w:r>
        <w:rPr>
          <w:color w:val="000000"/>
          <w:sz w:val="28"/>
        </w:rPr>
        <w:t>.2023</w:t>
      </w:r>
    </w:p>
    <w:p w14:paraId="63000000">
      <w:pPr>
        <w:rPr>
          <w:color w:val="000000"/>
          <w:sz w:val="20"/>
        </w:rPr>
      </w:pPr>
    </w:p>
    <w:p w14:paraId="64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b w:val="1"/>
      <w:sz w:val="24"/>
    </w:rPr>
  </w:style>
  <w:style w:styleId="Style_12_ch" w:type="character">
    <w:name w:val="ConsPlusTitle"/>
    <w:link w:val="Style_12"/>
    <w:rPr>
      <w:b w:val="1"/>
      <w:sz w:val="24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6" w:type="paragraph">
    <w:name w:val="ConsPlusNorma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4" w:type="paragraph">
    <w:name w:val="Основной текст1"/>
    <w:basedOn w:val="Style_7"/>
    <w:link w:val="Style_4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4_ch" w:type="character">
    <w:name w:val="Основной текст1"/>
    <w:basedOn w:val="Style_7_ch"/>
    <w:link w:val="Style_4"/>
    <w:rPr>
      <w:color w:val="000000"/>
      <w:sz w:val="27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er"/>
    <w:basedOn w:val="Style_7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7_ch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rmal (Web)"/>
    <w:basedOn w:val="Style_7"/>
    <w:link w:val="Style_24_ch"/>
    <w:pPr>
      <w:spacing w:after="119" w:beforeAutospacing="on"/>
      <w:ind/>
    </w:pPr>
  </w:style>
  <w:style w:styleId="Style_24_ch" w:type="character">
    <w:name w:val="Normal (Web)"/>
    <w:basedOn w:val="Style_7_ch"/>
    <w:link w:val="Style_24"/>
  </w:style>
  <w:style w:styleId="Style_2" w:type="paragraph">
    <w:name w:val="Нормальный (таблица)"/>
    <w:basedOn w:val="Style_7"/>
    <w:next w:val="Style_7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7_ch"/>
    <w:link w:val="Style_2"/>
    <w:rPr>
      <w:rFonts w:ascii="Arial" w:hAnsi="Arial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Гипертекстовая ссылка"/>
    <w:link w:val="Style_26_ch"/>
    <w:rPr>
      <w:b w:val="1"/>
      <w:color w:val="106BBE"/>
    </w:rPr>
  </w:style>
  <w:style w:styleId="Style_26_ch" w:type="character">
    <w:name w:val="Гипертекстовая ссылка"/>
    <w:link w:val="Style_26"/>
    <w:rPr>
      <w:b w:val="1"/>
      <w:color w:val="106BBE"/>
    </w:rPr>
  </w:style>
  <w:style w:styleId="Style_27" w:type="paragraph">
    <w:name w:val="Body Text Indent"/>
    <w:basedOn w:val="Style_7"/>
    <w:link w:val="Style_27_ch"/>
    <w:pPr>
      <w:ind w:firstLine="720" w:left="0"/>
      <w:jc w:val="both"/>
    </w:pPr>
    <w:rPr>
      <w:sz w:val="28"/>
    </w:rPr>
  </w:style>
  <w:style w:styleId="Style_27_ch" w:type="character">
    <w:name w:val="Body Text Indent"/>
    <w:basedOn w:val="Style_7_ch"/>
    <w:link w:val="Style_27"/>
    <w:rPr>
      <w:sz w:val="2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Без интервала"/>
    <w:link w:val="Style_32_ch"/>
    <w:rPr>
      <w:rFonts w:ascii="Calibri" w:hAnsi="Calibri"/>
      <w:sz w:val="22"/>
    </w:rPr>
  </w:style>
  <w:style w:styleId="Style_32_ch" w:type="character">
    <w:name w:val="Без интервала"/>
    <w:link w:val="Style_32"/>
    <w:rPr>
      <w:rFonts w:ascii="Calibri" w:hAnsi="Calibri"/>
      <w:sz w:val="22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2023-12-13T06:44:27Z</dcterms:modified>
</cp:coreProperties>
</file>