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Регулирующий орган: </w:t>
      </w:r>
      <w:r>
        <w:rPr>
          <w:rFonts w:ascii="Times New Roman" w:hAnsi="Times New Roman"/>
          <w:sz w:val="28"/>
        </w:rPr>
        <w:t xml:space="preserve">Управление образования администрации </w:t>
      </w:r>
      <w:r>
        <w:rPr>
          <w:rFonts w:ascii="Times New Roman" w:hAnsi="Times New Roman"/>
          <w:sz w:val="28"/>
        </w:rPr>
        <w:t>муниципального образования Выселковский район.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</w:t>
      </w:r>
      <w:bookmarkStart w:id="2" w:name="_Hlk491332889"/>
      <w:r>
        <w:rPr>
          <w:rFonts w:ascii="Times New Roman" w:hAnsi="Times New Roman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»</w:t>
      </w:r>
      <w:bookmarkEnd w:id="3"/>
      <w:r>
        <w:rPr>
          <w:rFonts w:ascii="Times New Roman" w:hAnsi="Times New Roman"/>
          <w:sz w:val="28"/>
        </w:rPr>
        <w:t>.</w:t>
      </w:r>
      <w:bookmarkEnd w:id="1"/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 xml:space="preserve">август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0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 Краткое описание проблемы, на решение которой направлено предлагаемое правовое регулирование: невозможность 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 Краткое описание целей предполагаемого правового регулирования: </w:t>
      </w:r>
      <w:r>
        <w:rPr>
          <w:rFonts w:ascii="Times New Roman" w:hAnsi="Times New Roman"/>
          <w:sz w:val="28"/>
        </w:rPr>
        <w:t>предоставление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</w:rPr>
        <w:t xml:space="preserve">Утверждение </w:t>
      </w:r>
      <w:r>
        <w:rPr>
          <w:rFonts w:ascii="Times New Roman" w:hAnsi="Times New Roman"/>
          <w:sz w:val="28"/>
        </w:rPr>
        <w:t>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 Степень регулирующего воздействия  - высокая. </w:t>
      </w:r>
    </w:p>
    <w:p w14:paraId="1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</w:t>
      </w:r>
      <w:r>
        <w:rPr>
          <w:rFonts w:ascii="Times New Roman" w:hAnsi="Times New Roman"/>
          <w:sz w:val="28"/>
        </w:rPr>
        <w:t xml:space="preserve">проект муниципального нормативного правового акта </w:t>
      </w:r>
      <w:r>
        <w:rPr>
          <w:rFonts w:ascii="Times New Roman" w:hAnsi="Times New Roman"/>
          <w:sz w:val="28"/>
        </w:rPr>
        <w:t>содержит положения, устанавливающие новые обязанности для субъектов предпринимательской и иной экономической деятельности.</w:t>
      </w:r>
    </w:p>
    <w:p w14:paraId="1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14:paraId="1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 </w:t>
      </w:r>
      <w:r>
        <w:rPr>
          <w:rFonts w:ascii="Times New Roman" w:hAnsi="Times New Roman"/>
          <w:sz w:val="28"/>
        </w:rPr>
        <w:t>Семина Лариса Алексеевна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начальник управления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Выселковский район, 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 (861 57) 73-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98</w:t>
      </w:r>
    </w:p>
    <w:p w14:paraId="14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"mailto:ruo@vis.kubannet.ru"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ruo@vis.kubannet.ru</w:t>
      </w:r>
      <w:r>
        <w:rPr>
          <w:rFonts w:ascii="Times New Roman" w:hAnsi="Times New Roman"/>
          <w:sz w:val="28"/>
        </w:rPr>
        <w:fldChar w:fldCharType="end"/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/>
          <w:sz w:val="28"/>
        </w:rPr>
        <w:t>отсутствие нормативно правового акта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2.1. Формулировка проблемы: </w:t>
      </w:r>
      <w:r>
        <w:rPr>
          <w:rFonts w:ascii="Times New Roman" w:hAnsi="Times New Roman"/>
          <w:sz w:val="28"/>
        </w:rPr>
        <w:t xml:space="preserve">невозможность 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  <w:highlight w:val="white"/>
        </w:rPr>
        <w:t>.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 вышеуказанного постановления администрации муниципального образован</w:t>
      </w:r>
      <w:r>
        <w:rPr>
          <w:rFonts w:ascii="Times New Roman" w:hAnsi="Times New Roman"/>
          <w:sz w:val="28"/>
        </w:rPr>
        <w:t xml:space="preserve">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2.4. Характеристика негативных эффектов, возникающих в связи                   с наличием проблемы, их количественная оценка: </w:t>
      </w:r>
      <w:r>
        <w:rPr>
          <w:rFonts w:ascii="Times New Roman" w:hAnsi="Times New Roman"/>
          <w:sz w:val="28"/>
        </w:rPr>
        <w:t xml:space="preserve">невозможность 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социальным сертификатом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 w:val="0"/>
          <w:sz w:val="28"/>
        </w:rPr>
        <w:t xml:space="preserve">исполнения муниципального социального заказа на оказание </w:t>
      </w:r>
      <w:r>
        <w:rPr>
          <w:rFonts w:ascii="Times New Roman" w:hAnsi="Times New Roman"/>
          <w:b w:val="0"/>
          <w:sz w:val="28"/>
        </w:rPr>
        <w:t xml:space="preserve">муниципальной услуги в социальной сфере «Реализация дополнительных общеразвивающих программ» </w:t>
      </w:r>
      <w:r>
        <w:rPr>
          <w:rFonts w:ascii="Times New Roman" w:hAnsi="Times New Roman"/>
          <w:b w:val="0"/>
          <w:sz w:val="28"/>
        </w:rPr>
        <w:t xml:space="preserve"> в соответствии с социальным сертификатом.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7"/>
        </w:rPr>
        <w:t>2.5. </w:t>
      </w:r>
      <w:r>
        <w:rPr>
          <w:rFonts w:ascii="Times New Roman" w:hAnsi="Times New Roman"/>
          <w:sz w:val="28"/>
        </w:rPr>
        <w:t xml:space="preserve">Причины возникновения проблемы и факторы, поддерживающие ее существование: принятие </w:t>
      </w:r>
      <w:r>
        <w:rPr>
          <w:rFonts w:ascii="Times New Roman" w:hAnsi="Times New Roman"/>
          <w:sz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</w:t>
      </w:r>
      <w:r>
        <w:rPr>
          <w:rFonts w:ascii="Times New Roman" w:hAnsi="Times New Roman"/>
          <w:sz w:val="28"/>
        </w:rPr>
        <w:t xml:space="preserve">принимают </w:t>
      </w:r>
      <w:r>
        <w:rPr>
          <w:rFonts w:ascii="Times New Roman" w:hAnsi="Times New Roman"/>
          <w:sz w:val="28"/>
        </w:rPr>
        <w:t xml:space="preserve">аналогичные </w:t>
      </w:r>
      <w:r>
        <w:rPr>
          <w:rFonts w:ascii="Times New Roman" w:hAnsi="Times New Roman"/>
          <w:sz w:val="28"/>
        </w:rPr>
        <w:t>нормативные правовые акты</w:t>
      </w:r>
      <w:r>
        <w:rPr>
          <w:rFonts w:ascii="Times New Roman" w:hAnsi="Times New Roman"/>
          <w:sz w:val="28"/>
        </w:rPr>
        <w:t>.</w:t>
      </w:r>
    </w:p>
    <w:p w14:paraId="1D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bookmarkStart w:id="4" w:name="_Hlk511037802"/>
      <w:r>
        <w:rPr>
          <w:rFonts w:ascii="Times New Roman" w:hAnsi="Times New Roman"/>
          <w:sz w:val="28"/>
        </w:rPr>
        <w:t>2.8. Источники данных:</w:t>
      </w:r>
      <w:bookmarkEnd w:id="4"/>
      <w:r>
        <w:rPr>
          <w:rFonts w:ascii="Times New Roman" w:hAnsi="Times New Roman"/>
          <w:sz w:val="28"/>
        </w:rPr>
        <w:t xml:space="preserve"> информационно-телекоммуникационная сеть «Интернет».</w:t>
      </w:r>
    </w:p>
    <w:p w14:paraId="1E000000">
      <w:pPr>
        <w:pStyle w:val="Style_2"/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1F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5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5"/>
      <w:r>
        <w:rPr>
          <w:rFonts w:ascii="Times New Roman" w:hAnsi="Times New Roman"/>
          <w:sz w:val="28"/>
        </w:rPr>
        <w:t>:</w:t>
      </w:r>
    </w:p>
    <w:p w14:paraId="20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6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6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</w:t>
            </w:r>
            <w:r>
              <w:rPr>
                <w:rFonts w:ascii="Times New Roman" w:hAnsi="Times New Roman"/>
                <w:sz w:val="24"/>
              </w:rPr>
              <w:t xml:space="preserve">водителям товаров, работ, услуг </w:t>
            </w:r>
            <w:r>
              <w:rPr>
                <w:rFonts w:ascii="Times New Roman" w:hAnsi="Times New Roman"/>
                <w:sz w:val="24"/>
              </w:rPr>
              <w:t>на оплату соглашения</w:t>
            </w:r>
            <w:r>
              <w:rPr>
                <w:rFonts w:ascii="Times New Roman" w:hAnsi="Times New Roman"/>
                <w:sz w:val="24"/>
              </w:rPr>
              <w:t xml:space="preserve"> о возмещении затрат, связанных </w:t>
            </w:r>
            <w:r>
              <w:rPr>
                <w:rFonts w:ascii="Times New Roman" w:hAnsi="Times New Roman"/>
                <w:sz w:val="24"/>
              </w:rPr>
              <w:t>с оказанием муниципальных услуг в социальной сфере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соответствии с социальным сертификатом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даты вступления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14:paraId="27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</w:t>
      </w:r>
      <w:r>
        <w:rPr>
          <w:rFonts w:ascii="Times New Roman" w:hAnsi="Times New Roman"/>
          <w:sz w:val="28"/>
        </w:rPr>
        <w:t>Федеральный</w:t>
      </w:r>
      <w:r>
        <w:rPr>
          <w:rFonts w:ascii="Times New Roman" w:hAnsi="Times New Roman"/>
          <w:sz w:val="28"/>
        </w:rPr>
        <w:t xml:space="preserve"> закон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highlight w:val="white"/>
        </w:rPr>
        <w:t>.</w:t>
      </w:r>
    </w:p>
    <w:p w14:paraId="29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7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</w:t>
            </w:r>
            <w:r>
              <w:rPr>
                <w:rFonts w:ascii="Times New Roman" w:hAnsi="Times New Roman"/>
                <w:sz w:val="24"/>
              </w:rPr>
              <w:t xml:space="preserve">водителям товаров, работ, услуг </w:t>
            </w:r>
            <w:r>
              <w:rPr>
                <w:rFonts w:ascii="Times New Roman" w:hAnsi="Times New Roman"/>
                <w:sz w:val="24"/>
              </w:rPr>
              <w:t>на оплату соглашения</w:t>
            </w:r>
            <w:r>
              <w:rPr>
                <w:rFonts w:ascii="Times New Roman" w:hAnsi="Times New Roman"/>
                <w:sz w:val="24"/>
              </w:rPr>
              <w:t xml:space="preserve"> о возмещении затрат, связанных </w:t>
            </w:r>
            <w:r>
              <w:rPr>
                <w:rFonts w:ascii="Times New Roman" w:hAnsi="Times New Roman"/>
                <w:sz w:val="24"/>
              </w:rPr>
              <w:t>с оказанием муниципальных услуг в социальной сфере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соответствии с социальным сертификатом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постановления администрации муниципального образования Выселковский район «</w:t>
            </w:r>
            <w:r>
              <w:rPr>
                <w:rFonts w:ascii="Times New Roman" w:hAnsi="Times New Roman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2023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14:paraId="3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».</w:t>
      </w:r>
    </w:p>
    <w:p w14:paraId="34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6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1270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14:paraId="3D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3E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5. Изменение функций (полномочий, обязанностей, прав) органов местного самоуправления муниципального образования Выселковский район, а </w:t>
      </w:r>
      <w:r>
        <w:rPr>
          <w:rFonts w:ascii="Times New Roman" w:hAnsi="Times New Roman"/>
          <w:sz w:val="28"/>
        </w:rPr>
        <w:t>также порядка их реализации в связи с введением предлагаемого правового регулирования:</w:t>
      </w:r>
    </w:p>
    <w:p w14:paraId="3F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0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9" w:name="sub_100051"/>
            <w:r>
              <w:rPr>
                <w:rFonts w:ascii="Times New Roman" w:hAnsi="Times New Roman"/>
              </w:rPr>
              <w:t>5.1. Наименование функции (полномочия, обязанности</w:t>
            </w:r>
          </w:p>
          <w:p w14:paraId="4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9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Выселковский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</w:t>
            </w:r>
            <w:r>
              <w:rPr>
                <w:rFonts w:ascii="Times New Roman" w:hAnsi="Times New Roman"/>
                <w:sz w:val="24"/>
              </w:rPr>
              <w:t xml:space="preserve">водителям товаров, работ, услуг </w:t>
            </w:r>
            <w:r>
              <w:rPr>
                <w:rFonts w:ascii="Times New Roman" w:hAnsi="Times New Roman"/>
                <w:sz w:val="24"/>
              </w:rPr>
              <w:t>на оплату соглашения</w:t>
            </w:r>
            <w:r>
              <w:rPr>
                <w:rFonts w:ascii="Times New Roman" w:hAnsi="Times New Roman"/>
                <w:sz w:val="24"/>
              </w:rPr>
              <w:t xml:space="preserve"> о возмещении затрат, связанных </w:t>
            </w:r>
            <w:r>
              <w:rPr>
                <w:rFonts w:ascii="Times New Roman" w:hAnsi="Times New Roman"/>
                <w:sz w:val="24"/>
              </w:rPr>
              <w:t>с оказанием муниципальных услуг в социальной сфере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соответствии с социальным сертификатом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изменяется 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Согласно </w:t>
            </w:r>
            <w:r>
              <w:rPr>
                <w:rFonts w:ascii="Times New Roman" w:hAnsi="Times New Roman"/>
                <w:sz w:val="20"/>
              </w:rPr>
              <w:t xml:space="preserve"> утвержденному Порядку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14:paraId="4D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14:paraId="4E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14:paraId="4F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  <w:p w14:paraId="50000000">
            <w:pPr>
              <w:pStyle w:val="Style_7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 АПК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pStyle w:val="Style_7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2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Оценка дополнительных расходов (доходов) местных бюджетов, связанных с введением предлагаемого правового регулирования: дополнительные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14:paraId="54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"sub_100051"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подпунктом 5.1 пункта 5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9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rPr>
                <w:rFonts w:ascii="Times New Roman" w:hAnsi="Times New Roman"/>
                <w:sz w:val="24"/>
              </w:rPr>
              <w:t>предоставление субсидии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юридическим лицам, и</w:t>
            </w:r>
            <w:r>
              <w:rPr>
                <w:rFonts w:ascii="Times New Roman" w:hAnsi="Times New Roman"/>
                <w:sz w:val="24"/>
              </w:rPr>
              <w:t xml:space="preserve">ндивидуальным предпринимателям, </w:t>
            </w:r>
            <w:r>
              <w:rPr>
                <w:rFonts w:ascii="Times New Roman" w:hAnsi="Times New Roman"/>
                <w:sz w:val="24"/>
              </w:rPr>
              <w:t>физическим лицам – произ</w:t>
            </w:r>
            <w:r>
              <w:rPr>
                <w:rFonts w:ascii="Times New Roman" w:hAnsi="Times New Roman"/>
                <w:sz w:val="24"/>
              </w:rPr>
              <w:t xml:space="preserve">водителям товаров, работ, услуг </w:t>
            </w:r>
            <w:r>
              <w:rPr>
                <w:rFonts w:ascii="Times New Roman" w:hAnsi="Times New Roman"/>
                <w:sz w:val="24"/>
              </w:rPr>
              <w:t>на оплату соглашения</w:t>
            </w:r>
            <w:r>
              <w:rPr>
                <w:rFonts w:ascii="Times New Roman" w:hAnsi="Times New Roman"/>
                <w:sz w:val="24"/>
              </w:rPr>
              <w:t xml:space="preserve"> о возмещении затрат, связанных </w:t>
            </w:r>
            <w:r>
              <w:rPr>
                <w:rFonts w:ascii="Times New Roman" w:hAnsi="Times New Roman"/>
                <w:sz w:val="24"/>
              </w:rPr>
              <w:t>с оказанием муниципальных услуг в социальной сфере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соответствии с социальным сертификатом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5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r>
              <w:t>---</w:t>
            </w: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r>
              <w:t>---</w:t>
            </w: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r>
              <w:t>---</w:t>
            </w: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r>
              <w:t>---</w:t>
            </w: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68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r>
              <w:t>---</w:t>
            </w: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---</w:t>
            </w:r>
          </w:p>
        </w:tc>
      </w:tr>
    </w:tbl>
    <w:p w14:paraId="6C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6D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6E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6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0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pStyle w:val="Style_11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74000000">
            <w:pPr>
              <w:pStyle w:val="Style_11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7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млн.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pStyle w:val="Style_12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подготовка пакета документов на получение субсидий в соответствии с </w:t>
            </w:r>
            <w:r>
              <w:rPr>
                <w:rFonts w:ascii="Times New Roman" w:hAnsi="Times New Roman"/>
                <w:b w:val="0"/>
                <w:sz w:val="24"/>
              </w:rPr>
              <w:t>Порядком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  <w:p w14:paraId="7E000000">
            <w:pPr>
              <w:pStyle w:val="Style_5"/>
              <w:ind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пакета документов на получение субсидий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708,4 руб. на одного заявителя</w:t>
            </w:r>
          </w:p>
        </w:tc>
      </w:tr>
    </w:tbl>
    <w:p w14:paraId="81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82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Издержки и выгоды адресатов предлагаемого правового регулирования, не поддающиеся количественной </w:t>
      </w:r>
      <w:r>
        <w:rPr>
          <w:rFonts w:ascii="Times New Roman" w:hAnsi="Times New Roman"/>
          <w:sz w:val="28"/>
        </w:rPr>
        <w:t xml:space="preserve">оценке: издержки – на подготовку пакета документов, выгоды – получение субсидии </w:t>
      </w:r>
      <w:r>
        <w:rPr>
          <w:rFonts w:ascii="Times New Roman" w:hAnsi="Times New Roman"/>
          <w:b w:val="0"/>
          <w:sz w:val="28"/>
        </w:rPr>
        <w:t>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 xml:space="preserve">. </w:t>
      </w:r>
    </w:p>
    <w:p w14:paraId="83000000">
      <w:pPr>
        <w:tabs>
          <w:tab w:leader="none" w:pos="1027" w:val="left"/>
        </w:tabs>
        <w:spacing w:line="240" w:lineRule="auto"/>
        <w:ind w:firstLine="675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уровня сложности (менее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 примерно </w:t>
      </w:r>
      <w:r>
        <w:rPr>
          <w:rFonts w:ascii="Times New Roman" w:hAnsi="Times New Roman"/>
          <w:color w:themeColor="text1" w:val="000000"/>
          <w:sz w:val="28"/>
        </w:rPr>
        <w:t>708,4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 на одного заявителя.</w:t>
      </w:r>
    </w:p>
    <w:p w14:paraId="84000000">
      <w:pPr>
        <w:tabs>
          <w:tab w:leader="none" w:pos="1027" w:val="left"/>
        </w:tabs>
        <w:spacing w:line="240" w:lineRule="auto"/>
        <w:ind w:firstLine="675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</w:t>
      </w:r>
      <w:r>
        <w:rPr>
          <w:rFonts w:ascii="Times New Roman" w:hAnsi="Times New Roman"/>
          <w:sz w:val="28"/>
        </w:rPr>
        <w:t>Министерства экономического развития Российской Федерации от 22 сентября 2015 года № 669:</w:t>
      </w:r>
    </w:p>
    <w:p w14:paraId="85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86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pacing w:val="0"/>
          <w:sz w:val="28"/>
        </w:rPr>
        <w:t>regulation.gov.ru</w:t>
      </w:r>
      <w:r>
        <w:rPr>
          <w:rFonts w:ascii="Times New Roman" w:hAnsi="Times New Roman"/>
          <w:spacing w:val="0"/>
          <w:sz w:val="28"/>
        </w:rPr>
        <w:t>):</w:t>
      </w:r>
    </w:p>
    <w:p w14:paraId="87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88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тип требования: представление информации (документов);</w:t>
      </w:r>
    </w:p>
    <w:p w14:paraId="89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раздел требования: </w:t>
      </w:r>
      <w:r>
        <w:rPr>
          <w:rFonts w:ascii="Times New Roman" w:hAnsi="Times New Roman"/>
          <w:spacing w:val="0"/>
          <w:sz w:val="28"/>
        </w:rPr>
        <w:t>информационное</w:t>
      </w:r>
      <w:r>
        <w:rPr>
          <w:rFonts w:ascii="Times New Roman" w:hAnsi="Times New Roman"/>
          <w:spacing w:val="0"/>
          <w:sz w:val="28"/>
        </w:rPr>
        <w:t>;</w:t>
      </w:r>
    </w:p>
    <w:p w14:paraId="8A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8B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масштаб: субъекты регулирования – 1;</w:t>
      </w:r>
    </w:p>
    <w:p w14:paraId="8C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частота предоставления: 1 пакет документов 1 раз;</w:t>
      </w:r>
    </w:p>
    <w:p w14:paraId="8D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действия: подача пакета документов – 2 чел./час; </w:t>
      </w:r>
    </w:p>
    <w:p w14:paraId="8E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среднемесячная заработная плата на одного работника по Выселковскому району– 59504,8 руб.;</w:t>
      </w:r>
    </w:p>
    <w:p w14:paraId="8F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средняя стоимость часа работы: 354,2 руб. (59504,8 руб./21 рабочий день/8 час.);</w:t>
      </w:r>
    </w:p>
    <w:p w14:paraId="90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общая стоимость требования: 708,4 руб. (354,2 руб./час </w:t>
      </w:r>
      <w:r>
        <w:rPr>
          <w:rFonts w:ascii="Times New Roman" w:hAnsi="Times New Roman"/>
          <w:spacing w:val="0"/>
          <w:sz w:val="28"/>
        </w:rPr>
        <w:t>x</w:t>
      </w:r>
      <w:r>
        <w:rPr>
          <w:rFonts w:ascii="Times New Roman" w:hAnsi="Times New Roman"/>
          <w:spacing w:val="0"/>
          <w:sz w:val="28"/>
        </w:rPr>
        <w:t xml:space="preserve"> 2 чел./час) на 1-го заявителя.</w:t>
      </w:r>
    </w:p>
    <w:p w14:paraId="91000000">
      <w:pPr>
        <w:tabs>
          <w:tab w:leader="none" w:pos="1027" w:val="left"/>
          <w:tab w:leader="none" w:pos="1369" w:val="left"/>
        </w:tabs>
        <w:spacing w:line="192" w:lineRule="auto"/>
        <w:ind w:right="4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92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9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94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9D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9E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9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A0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rStyle w:val="Style_13_ch"/>
                <w:rFonts w:ascii="Times New Roman" w:hAnsi="Times New Roman"/>
                <w:sz w:val="26"/>
              </w:rPr>
            </w:pPr>
            <w:r>
              <w:rPr>
                <w:rStyle w:val="Style_13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6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AB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юридически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лица, индивидуальны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лица – производител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товаров, работ, услуг, оказывающие муниципальные услуги в социальной сфере в соответствии с социальным сертификатом.</w:t>
            </w:r>
            <w:r>
              <w:rPr>
                <w:rFonts w:ascii="Times New Roman" w:hAnsi="Times New Roman"/>
                <w:sz w:val="24"/>
              </w:rPr>
              <w:t xml:space="preserve"> Количественная оценка численности – не ограничено.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расходы на подготовку пакета документов на получение субсидий</w:t>
            </w:r>
          </w:p>
          <w:p w14:paraId="B0000000">
            <w:pPr>
              <w:rPr>
                <w:color w:val="C0504D"/>
              </w:rPr>
            </w:pPr>
            <w:r>
              <w:rPr>
                <w:color w:val="C0504D"/>
              </w:rPr>
              <w:t>СУММА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9.5. Оценка возможности достижения заявленных целей регулирования (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8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5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1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BB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B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B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 Позволит утвердить проект постановления администрации </w:t>
      </w:r>
      <w:r>
        <w:rPr>
          <w:rFonts w:ascii="Times New Roman" w:hAnsi="Times New Roman"/>
          <w:sz w:val="28"/>
        </w:rPr>
        <w:t>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». Выявленная проблема может быть решена исключительно посредством введения предлагаемого правового регулирования.</w:t>
      </w:r>
    </w:p>
    <w:p w14:paraId="B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Детальное описание предлагаемого варианта решения проблемы: утверждение проекта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BF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C0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 xml:space="preserve">август </w:t>
      </w:r>
      <w:r>
        <w:rPr>
          <w:rFonts w:ascii="Times New Roman" w:hAnsi="Times New Roman"/>
          <w:sz w:val="28"/>
        </w:rPr>
        <w:t>2023 года, со дня обнародования.</w:t>
      </w:r>
    </w:p>
    <w:p w14:paraId="C1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C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C3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C4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14:paraId="C5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C6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C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C8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 июля</w:t>
      </w:r>
      <w:r>
        <w:rPr>
          <w:rFonts w:ascii="Times New Roman" w:hAnsi="Times New Roman"/>
          <w:sz w:val="27"/>
        </w:rPr>
        <w:t xml:space="preserve"> 2023 года</w:t>
      </w:r>
    </w:p>
    <w:p w14:paraId="C9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 образования</w:t>
      </w:r>
    </w:p>
    <w:p w14:paraId="C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C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Л.А. Семина</w:t>
      </w:r>
    </w:p>
    <w:p w14:paraId="CD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E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F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1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  <w:rPr>
      <w:sz w:val="22"/>
    </w:rPr>
  </w:style>
  <w:style w:default="1" w:styleId="Style_14_ch" w:type="character">
    <w:name w:val="Normal"/>
    <w:link w:val="Style_14"/>
    <w:rPr>
      <w:sz w:val="22"/>
    </w:rPr>
  </w:style>
  <w:style w:styleId="Style_13" w:type="paragraph">
    <w:name w:val="Body Text"/>
    <w:basedOn w:val="Style_14"/>
    <w:link w:val="Style_13_ch"/>
    <w:pPr>
      <w:spacing w:after="120"/>
      <w:ind/>
    </w:pPr>
  </w:style>
  <w:style w:styleId="Style_13_ch" w:type="character">
    <w:name w:val="Body Text"/>
    <w:basedOn w:val="Style_14_ch"/>
    <w:link w:val="Style_13"/>
  </w:style>
  <w:style w:styleId="Style_15" w:type="paragraph">
    <w:name w:val="toc 2"/>
    <w:next w:val="Style_14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4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4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0" w:type="paragraph">
    <w:name w:val="Balloon Text Char"/>
    <w:basedOn w:val="Style_21"/>
    <w:link w:val="Style_20_ch"/>
    <w:rPr>
      <w:rFonts w:ascii="Times New Roman" w:hAnsi="Times New Roman"/>
      <w:sz w:val="2"/>
    </w:rPr>
  </w:style>
  <w:style w:styleId="Style_20_ch" w:type="character">
    <w:name w:val="Balloon Text Char"/>
    <w:basedOn w:val="Style_21_ch"/>
    <w:link w:val="Style_20"/>
    <w:rPr>
      <w:rFonts w:ascii="Times New Roman" w:hAnsi="Times New Roman"/>
      <w:sz w:val="2"/>
    </w:rPr>
  </w:style>
  <w:style w:styleId="Style_22" w:type="paragraph">
    <w:name w:val="toc 3"/>
    <w:next w:val="Style_1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4_ch"/>
    <w:link w:val="Style_1"/>
    <w:rPr>
      <w:sz w:val="20"/>
    </w:rPr>
  </w:style>
  <w:style w:styleId="Style_8" w:type="paragraph">
    <w:name w:val="Гипертекстовая ссылка"/>
    <w:link w:val="Style_8_ch"/>
    <w:rPr>
      <w:b w:val="1"/>
      <w:color w:val="106BBE"/>
    </w:rPr>
  </w:style>
  <w:style w:styleId="Style_8_ch" w:type="character">
    <w:name w:val="Гипертекстовая ссылка"/>
    <w:link w:val="Style_8"/>
    <w:rPr>
      <w:b w:val="1"/>
      <w:color w:val="106BBE"/>
    </w:rPr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9" w:type="paragraph">
    <w:name w:val="heading 1"/>
    <w:basedOn w:val="Style_14"/>
    <w:next w:val="Style_14"/>
    <w:link w:val="Style_9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9_ch" w:type="character">
    <w:name w:val="heading 1"/>
    <w:basedOn w:val="Style_14_ch"/>
    <w:link w:val="Style_9"/>
    <w:rPr>
      <w:rFonts w:ascii="Arial" w:hAnsi="Arial"/>
      <w:b w:val="1"/>
      <w:color w:val="26282F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4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7" w:type="paragraph">
    <w:name w:val="List Paragraph"/>
    <w:basedOn w:val="Style_14"/>
    <w:link w:val="Style_7_ch"/>
    <w:pPr>
      <w:ind w:firstLine="0" w:left="720"/>
      <w:contextualSpacing w:val="1"/>
    </w:pPr>
  </w:style>
  <w:style w:styleId="Style_7_ch" w:type="character">
    <w:name w:val="List Paragraph"/>
    <w:basedOn w:val="Style_14_ch"/>
    <w:link w:val="Style_7"/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5" w:type="paragraph">
    <w:name w:val="Нормальный (таблица)"/>
    <w:basedOn w:val="Style_14"/>
    <w:next w:val="Style_14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4_ch"/>
    <w:link w:val="Style_5"/>
    <w:rPr>
      <w:rFonts w:ascii="Arial" w:hAnsi="Arial"/>
      <w:sz w:val="24"/>
    </w:rPr>
  </w:style>
  <w:style w:styleId="Style_28" w:type="paragraph">
    <w:name w:val="toc 9"/>
    <w:next w:val="Style_1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29" w:type="paragraph">
    <w:name w:val="toc 8"/>
    <w:next w:val="Style_1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14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14_ch"/>
    <w:link w:val="Style_30"/>
    <w:rPr>
      <w:rFonts w:ascii="Segoe UI" w:hAnsi="Segoe UI"/>
      <w:sz w:val="18"/>
    </w:rPr>
  </w:style>
  <w:style w:styleId="Style_10" w:type="paragraph">
    <w:name w:val="Прижатый влево"/>
    <w:basedOn w:val="Style_14"/>
    <w:next w:val="Style_14"/>
    <w:link w:val="Style_10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0_ch" w:type="character">
    <w:name w:val="Прижатый влево"/>
    <w:basedOn w:val="Style_14_ch"/>
    <w:link w:val="Style_10"/>
    <w:rPr>
      <w:rFonts w:ascii="Arial" w:hAnsi="Arial"/>
      <w:sz w:val="24"/>
    </w:rPr>
  </w:style>
  <w:style w:styleId="Style_31" w:type="paragraph">
    <w:name w:val="toc 5"/>
    <w:next w:val="Style_1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b w:val="1"/>
      <w:color w:val="000000"/>
      <w:sz w:val="22"/>
    </w:rPr>
  </w:style>
  <w:style w:styleId="Style_12_ch" w:type="character">
    <w:name w:val="ConsPlusTitle"/>
    <w:link w:val="Style_12"/>
    <w:rPr>
      <w:b w:val="1"/>
      <w:color w:val="000000"/>
      <w:sz w:val="22"/>
    </w:rPr>
  </w:style>
  <w:style w:styleId="Style_32" w:type="paragraph">
    <w:name w:val="Subtitle"/>
    <w:next w:val="Style_1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Основной текст + 10"/>
    <w:link w:val="Style_34_ch"/>
    <w:rPr>
      <w:rFonts w:ascii="Times New Roman" w:hAnsi="Times New Roman"/>
      <w:sz w:val="21"/>
      <w:highlight w:val="white"/>
    </w:rPr>
  </w:style>
  <w:style w:styleId="Style_34_ch" w:type="character">
    <w:name w:val="Основной текст + 10"/>
    <w:link w:val="Style_34"/>
    <w:rPr>
      <w:rFonts w:ascii="Times New Roman" w:hAnsi="Times New Roman"/>
      <w:sz w:val="21"/>
      <w:highlight w:val="white"/>
    </w:rPr>
  </w:style>
  <w:style w:styleId="Style_35" w:type="paragraph">
    <w:name w:val="Title"/>
    <w:next w:val="Style_1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Обычный1"/>
    <w:link w:val="Style_36_ch"/>
    <w:rPr>
      <w:sz w:val="22"/>
    </w:rPr>
  </w:style>
  <w:style w:styleId="Style_36_ch" w:type="character">
    <w:name w:val="Обычный1"/>
    <w:link w:val="Style_36"/>
    <w:rPr>
      <w:sz w:val="22"/>
    </w:rPr>
  </w:style>
  <w:style w:styleId="Style_37" w:type="paragraph">
    <w:name w:val="heading 4"/>
    <w:next w:val="Style_1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annotation text"/>
    <w:basedOn w:val="Style_14"/>
    <w:link w:val="Style_38_ch"/>
    <w:pPr>
      <w:spacing w:after="0" w:line="240" w:lineRule="auto"/>
      <w:ind/>
    </w:pPr>
    <w:rPr>
      <w:rFonts w:ascii="Times New Roman" w:hAnsi="Times New Roman"/>
      <w:color w:val="000000"/>
      <w:sz w:val="20"/>
    </w:rPr>
  </w:style>
  <w:style w:styleId="Style_38_ch" w:type="character">
    <w:name w:val="annotation text"/>
    <w:basedOn w:val="Style_14_ch"/>
    <w:link w:val="Style_38"/>
    <w:rPr>
      <w:rFonts w:ascii="Times New Roman" w:hAnsi="Times New Roman"/>
      <w:color w:val="000000"/>
      <w:sz w:val="20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40" w:type="paragraph">
    <w:name w:val="heading 2"/>
    <w:next w:val="Style_14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11" w:type="paragraph">
    <w:name w:val="Основной текст1"/>
    <w:basedOn w:val="Style_14"/>
    <w:link w:val="Style_11_ch"/>
    <w:pPr>
      <w:spacing w:after="0" w:before="900" w:line="317" w:lineRule="exact"/>
      <w:ind w:hanging="360" w:left="360"/>
      <w:jc w:val="both"/>
    </w:pPr>
    <w:rPr>
      <w:sz w:val="27"/>
    </w:rPr>
  </w:style>
  <w:style w:styleId="Style_11_ch" w:type="character">
    <w:name w:val="Основной текст1"/>
    <w:basedOn w:val="Style_14_ch"/>
    <w:link w:val="Style_11"/>
    <w:rPr>
      <w:sz w:val="27"/>
    </w:rPr>
  </w:style>
  <w:style w:styleId="Style_41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2023-07-07T11:22:03Z</dcterms:modified>
</cp:coreProperties>
</file>