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6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b w:val="0"/>
          <w:spacing w:val="0"/>
          <w:sz w:val="28"/>
        </w:rPr>
        <w:t>Начальнику отдела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развития потребительской сферы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и ценообразования</w:t>
      </w:r>
      <w:r>
        <w:rPr>
          <w:sz w:val="28"/>
        </w:rPr>
        <w:t xml:space="preserve">                                                            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</w:t>
      </w:r>
    </w:p>
    <w:p w14:paraId="05000000">
      <w:pPr>
        <w:pStyle w:val="Style_1"/>
        <w:spacing w:before="0"/>
        <w:ind/>
        <w:rPr>
          <w:b w:val="0"/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b w:val="0"/>
          <w:sz w:val="28"/>
        </w:rPr>
        <w:t xml:space="preserve">образования </w:t>
      </w:r>
      <w:r>
        <w:rPr>
          <w:b w:val="0"/>
          <w:sz w:val="28"/>
        </w:rPr>
        <w:t>Выселковский район</w:t>
      </w:r>
    </w:p>
    <w:p w14:paraId="06000000">
      <w:pPr>
        <w:rPr>
          <w:sz w:val="26"/>
        </w:rPr>
      </w:pPr>
      <w:r>
        <w:rPr>
          <w:b w:val="0"/>
          <w:sz w:val="28"/>
        </w:rPr>
        <w:t xml:space="preserve">                                                                           А.В.Хлыстун</w:t>
      </w:r>
      <w:r>
        <w:rPr>
          <w:b w:val="0"/>
          <w:sz w:val="28"/>
        </w:rPr>
        <w:t xml:space="preserve">    </w:t>
      </w:r>
    </w:p>
    <w:p w14:paraId="07000000">
      <w:pPr>
        <w:rPr>
          <w:sz w:val="26"/>
        </w:rPr>
      </w:pPr>
    </w:p>
    <w:p w14:paraId="08000000">
      <w:pPr>
        <w:rPr>
          <w:sz w:val="26"/>
        </w:rPr>
      </w:pPr>
    </w:p>
    <w:p w14:paraId="09000000">
      <w:pPr>
        <w:pStyle w:val="Style_1"/>
        <w:spacing w:before="0"/>
        <w:ind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ЗАКЛЮЧЕНИЕ</w:t>
      </w:r>
      <w:r>
        <w:rPr>
          <w:b w:val="0"/>
          <w:spacing w:val="0"/>
          <w:sz w:val="28"/>
        </w:rPr>
        <w:br/>
      </w:r>
      <w:r>
        <w:rPr>
          <w:b w:val="0"/>
          <w:spacing w:val="0"/>
          <w:sz w:val="28"/>
        </w:rPr>
        <w:t>об оценке регулирующего воздействия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район»</w:t>
      </w:r>
      <w:r>
        <w:rPr>
          <w:color w:val="000000"/>
          <w:sz w:val="28"/>
        </w:rPr>
        <w:t>»</w:t>
      </w:r>
    </w:p>
    <w:p w14:paraId="0B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</w:p>
    <w:p w14:paraId="0C000000">
      <w:pPr>
        <w:ind/>
        <w:jc w:val="both"/>
        <w:rPr>
          <w:sz w:val="26"/>
        </w:rPr>
      </w:pPr>
      <w:r>
        <w:rPr>
          <w:sz w:val="26"/>
        </w:rPr>
        <w:t xml:space="preserve">   </w:t>
      </w:r>
    </w:p>
    <w:p w14:paraId="0D000000">
      <w:pPr>
        <w:ind w:firstLine="510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29</w:t>
      </w:r>
      <w:r>
        <w:rPr>
          <w:sz w:val="28"/>
        </w:rPr>
        <w:t xml:space="preserve"> января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район»</w:t>
      </w:r>
      <w:r>
        <w:rPr>
          <w:sz w:val="28"/>
        </w:rPr>
        <w:t xml:space="preserve">  (далее – Проект), направленный для подготовки настоящего Заключения отделом развития потребительской сферы и ценообразования администрации муниципального образования Выселковский район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6"/>
        </w:rPr>
        <w:t xml:space="preserve">   </w:t>
      </w:r>
      <w:r>
        <w:rPr>
          <w:sz w:val="28"/>
        </w:rPr>
        <w:t xml:space="preserve">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впервые.</w:t>
      </w:r>
    </w:p>
    <w:p w14:paraId="12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8"/>
        </w:rPr>
        <w:t xml:space="preserve">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5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7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8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9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A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8"/>
        </w:rPr>
        <w:t xml:space="preserve"> - 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подготовку пакета документов для участия в Конкурсе на право заключения договора о размещении</w:t>
      </w:r>
      <w:r>
        <w:rPr>
          <w:rFonts w:ascii="Times New Roman" w:hAnsi="Times New Roman"/>
          <w:sz w:val="28"/>
        </w:rPr>
        <w:t xml:space="preserve"> нестационарного торгового объекта, плата за право размещения нестационарного и мобильного  торгового объекта. </w:t>
      </w:r>
      <w:r>
        <w:rPr>
          <w:rFonts w:ascii="Times New Roman" w:hAnsi="Times New Roman"/>
          <w:sz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ресатов правового регулирования не представляется возможным, в связи с </w:t>
      </w:r>
      <w:r>
        <w:rPr>
          <w:rFonts w:ascii="Times New Roman" w:hAnsi="Times New Roman"/>
          <w:sz w:val="28"/>
        </w:rPr>
        <w:t>тем, что р</w:t>
      </w:r>
      <w:r>
        <w:rPr>
          <w:rFonts w:ascii="Times New Roman" w:hAnsi="Times New Roman"/>
          <w:sz w:val="28"/>
        </w:rPr>
        <w:t>азмер платы за размещение НТО</w:t>
      </w:r>
      <w:r>
        <w:rPr>
          <w:rFonts w:ascii="Times New Roman" w:hAnsi="Times New Roman"/>
          <w:sz w:val="28"/>
        </w:rPr>
        <w:t xml:space="preserve"> определяется по результатам Конкурса, а также в соответствии с </w:t>
      </w:r>
      <w:r>
        <w:rPr>
          <w:rFonts w:ascii="Times New Roman" w:hAnsi="Times New Roman"/>
          <w:sz w:val="28"/>
        </w:rPr>
        <w:t>Методикой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определения начальной цены предмета Конкурса на право заключени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договора о размещении нестационарного торгового объекта на земельном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участке, находящемся в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государственная собственность на который не разграничена</w:t>
      </w:r>
      <w:r>
        <w:rPr>
          <w:rFonts w:ascii="Times New Roman" w:hAnsi="Times New Roman"/>
          <w:sz w:val="28"/>
        </w:rPr>
        <w:t>;</w:t>
      </w:r>
    </w:p>
    <w:p w14:paraId="1B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C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D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E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Юридические лица и индивидуальные предприниматели, </w:t>
      </w:r>
      <w:r>
        <w:rPr>
          <w:rFonts w:ascii="Times New Roman" w:hAnsi="Times New Roman"/>
          <w:sz w:val="28"/>
        </w:rPr>
        <w:t xml:space="preserve">в том числе крестьянско-фермерские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хозяйства,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не являющи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</w:rPr>
        <w:t xml:space="preserve">,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претендующие на размещение нестационарных </w:t>
      </w:r>
      <w:r>
        <w:rPr>
          <w:rFonts w:ascii="Times New Roman" w:hAnsi="Times New Roman"/>
          <w:sz w:val="28"/>
        </w:rPr>
        <w:t xml:space="preserve">и мобильных </w:t>
      </w:r>
      <w:r>
        <w:rPr>
          <w:rFonts w:ascii="Times New Roman" w:hAnsi="Times New Roman"/>
          <w:sz w:val="28"/>
        </w:rPr>
        <w:t>торговых объектов на территории муниципального образования Выселковский район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sz w:val="28"/>
        </w:rPr>
        <w:t xml:space="preserve">на льготных условиях. </w:t>
      </w:r>
    </w:p>
    <w:p w14:paraId="1F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sz w:val="28"/>
        </w:rPr>
        <w:t>2. Проблема, на решение которой направлено предлагаемое проектом правовое регулирование:</w:t>
      </w:r>
    </w:p>
    <w:p w14:paraId="20000000">
      <w:pPr>
        <w:widowControl w:val="0"/>
        <w:ind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Несоответствие муниципального НПА действующему законодательству в связи с </w:t>
      </w:r>
      <w:r>
        <w:rPr>
          <w:rFonts w:ascii="Times New Roman" w:hAnsi="Times New Roman"/>
          <w:sz w:val="28"/>
        </w:rPr>
        <w:t xml:space="preserve">внесением изменений в Федеральный закон от  28 декабря 2009   года № 381-ФЗ "Об основах государственного регулирования торговой деятельности в Российской Федерации", в </w:t>
      </w:r>
      <w:r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края».</w:t>
      </w:r>
      <w:r>
        <w:rPr>
          <w:rFonts w:ascii="Times New Roman" w:hAnsi="Times New Roman"/>
          <w:sz w:val="28"/>
        </w:rPr>
        <w:t xml:space="preserve"> </w:t>
      </w:r>
    </w:p>
    <w:p w14:paraId="21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 xml:space="preserve">Отношения, связанные с размещением нестационарных торговых объектов на территории муниципального образования Выселковский район, регламентированы не в полной мере. </w:t>
      </w:r>
      <w:r>
        <w:rPr>
          <w:rFonts w:ascii="Times New Roman" w:hAnsi="Times New Roman"/>
          <w:sz w:val="28"/>
        </w:rPr>
        <w:t>Ранее действующая методика определения начальной цены предмета конкурса</w:t>
      </w:r>
      <w:r>
        <w:rPr>
          <w:rFonts w:ascii="Times New Roman" w:hAnsi="Times New Roman"/>
          <w:sz w:val="28"/>
        </w:rPr>
        <w:t xml:space="preserve"> не соответствует действующему законодательству об оценочной деятельности - </w:t>
      </w:r>
      <w:r>
        <w:rPr>
          <w:rFonts w:ascii="Times New Roman" w:hAnsi="Times New Roman"/>
          <w:sz w:val="28"/>
        </w:rPr>
        <w:t xml:space="preserve">Федеральному закону от 29 июля 1998 года №135-ФЗ «Об оценочной деятельности в Российской Федерации». </w:t>
      </w:r>
      <w:r>
        <w:rPr>
          <w:rFonts w:ascii="Times New Roman" w:hAnsi="Times New Roman"/>
          <w:sz w:val="28"/>
        </w:rPr>
        <w:t>Ранее утвержденные сроки рассмотрения предложений (обращений) не соответствуют утвержденным  постановлением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администрации (губернатора) Краснодарского края от 11 ноября 2014 г.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Губернатора Краснодарского края от 20 ноября 2023 года №945)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рассмотрения уполномоченными органами мотивированных предложений от исполнительных органов государственной власти Краснодарского края, органов местного самоуправления, обращений, поступивших в порядке Федерального закона от 2 мая 2006 года №59-ФЗ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</w:rPr>
        <w:t>.</w:t>
      </w:r>
    </w:p>
    <w:p w14:paraId="22000000">
      <w:pPr>
        <w:widowControl w:val="0"/>
        <w:ind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ab/>
      </w:r>
      <w:r>
        <w:rPr>
          <w:rFonts w:ascii="Times New Roman" w:hAnsi="Times New Roman"/>
          <w:sz w:val="28"/>
          <w:u w:val="none"/>
        </w:rPr>
        <w:t xml:space="preserve">В целях решения указанной проблемы рассматриваемым Проектом предлагается внести соответствующие изменения в </w:t>
      </w:r>
      <w:r>
        <w:rPr>
          <w:rFonts w:ascii="Times New Roman" w:hAnsi="Times New Roman"/>
          <w:sz w:val="28"/>
        </w:rPr>
        <w:t>действующий муниципальный правовой акт.</w:t>
      </w:r>
    </w:p>
    <w:p w14:paraId="2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rFonts w:ascii="Times New Roman" w:hAnsi="Times New Roman"/>
          <w:sz w:val="28"/>
          <w:u w:val="none"/>
        </w:rPr>
      </w:pPr>
      <w:r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sz w:val="28"/>
        </w:rPr>
        <w:t>Цель предлагаемого правового регулирования -</w:t>
      </w:r>
      <w:r>
        <w:rPr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приведение </w:t>
      </w:r>
      <w:r>
        <w:rPr>
          <w:rFonts w:ascii="Times New Roman" w:hAnsi="Times New Roman"/>
          <w:sz w:val="28"/>
          <w:u w:val="none"/>
        </w:rPr>
        <w:t xml:space="preserve">муниципального </w:t>
      </w:r>
      <w:r>
        <w:rPr>
          <w:rFonts w:ascii="Times New Roman" w:hAnsi="Times New Roman"/>
          <w:sz w:val="28"/>
          <w:u w:val="none"/>
        </w:rPr>
        <w:t xml:space="preserve">НПА в соответствие с действующим законодательством для </w:t>
      </w:r>
      <w:r>
        <w:rPr>
          <w:rFonts w:ascii="Times New Roman" w:hAnsi="Times New Roman"/>
          <w:sz w:val="28"/>
          <w:u w:val="none"/>
        </w:rPr>
        <w:t>урегулирования вопрос</w:t>
      </w:r>
      <w:r>
        <w:rPr>
          <w:rFonts w:ascii="Times New Roman" w:hAnsi="Times New Roman"/>
          <w:sz w:val="28"/>
          <w:u w:val="none"/>
        </w:rPr>
        <w:t>ов</w:t>
      </w:r>
      <w:r>
        <w:rPr>
          <w:rFonts w:ascii="Times New Roman" w:hAnsi="Times New Roman"/>
          <w:sz w:val="28"/>
          <w:u w:val="none"/>
        </w:rPr>
        <w:t xml:space="preserve"> предоставления </w:t>
      </w:r>
      <w:r>
        <w:rPr>
          <w:rFonts w:ascii="Times New Roman" w:hAnsi="Times New Roman"/>
          <w:sz w:val="28"/>
          <w:u w:val="none"/>
        </w:rPr>
        <w:t>права на размещение нестационарных торговых объектов на территории Выселковского района</w:t>
      </w:r>
      <w:r>
        <w:rPr>
          <w:rFonts w:ascii="Times New Roman" w:hAnsi="Times New Roman"/>
          <w:sz w:val="28"/>
          <w:u w:val="none"/>
        </w:rPr>
        <w:t>.</w:t>
      </w:r>
    </w:p>
    <w:p w14:paraId="25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6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6"/>
        </w:rPr>
        <w:t xml:space="preserve"> </w:t>
      </w:r>
      <w:r>
        <w:rPr>
          <w:sz w:val="28"/>
        </w:rPr>
        <w:t xml:space="preserve">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которыми изменяется содержание прав и обязанностей потенциальных адресатов предлагаемого проектом правового регулирования в части выполнения требований </w:t>
      </w:r>
      <w:r>
        <w:rPr>
          <w:sz w:val="28"/>
        </w:rPr>
        <w:t>к п</w:t>
      </w:r>
      <w:r>
        <w:rPr>
          <w:rFonts w:ascii="Times New Roman" w:hAnsi="Times New Roman"/>
          <w:sz w:val="28"/>
        </w:rPr>
        <w:t>редоставляемому пакету документов для участия в Конкурсе на право заключения договора о размещении</w:t>
      </w:r>
      <w:r>
        <w:rPr>
          <w:rFonts w:ascii="Times New Roman" w:hAnsi="Times New Roman"/>
          <w:sz w:val="28"/>
        </w:rPr>
        <w:t xml:space="preserve"> нестационарного торгового объекта, в части выполнения требований  заключаемого договора о размещении нестационарн</w:t>
      </w:r>
      <w:r>
        <w:rPr>
          <w:sz w:val="28"/>
        </w:rPr>
        <w:t xml:space="preserve">ого торгового объекта , в части внесения платы за размещение </w:t>
      </w:r>
      <w:r>
        <w:rPr>
          <w:rFonts w:ascii="Times New Roman" w:hAnsi="Times New Roman"/>
          <w:sz w:val="28"/>
        </w:rPr>
        <w:t>нестационарного торгового объекта (далее - НТО).</w:t>
      </w:r>
    </w:p>
    <w:p w14:paraId="27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  <w:r>
        <w:rPr>
          <w:sz w:val="26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Содержание и порядок реализации полномочий </w:t>
      </w:r>
      <w:r>
        <w:rPr>
          <w:rFonts w:ascii="Times New Roman" w:hAnsi="Times New Roman"/>
          <w:b w:val="0"/>
          <w:color w:themeColor="text1" w:val="000000"/>
          <w:sz w:val="28"/>
        </w:rPr>
        <w:t>уполномоченного органа администрации муниципального образования Выселковский район</w:t>
      </w:r>
      <w:r>
        <w:rPr>
          <w:sz w:val="28"/>
        </w:rPr>
        <w:t xml:space="preserve"> в отношениях с указанными субъектами изменяются в части формирования, </w:t>
      </w:r>
      <w:r>
        <w:rPr>
          <w:sz w:val="28"/>
        </w:rPr>
        <w:t xml:space="preserve">утверждения и внесения изменений в установленном порядке схемы размещения нестационарных торговых объектов, заключения </w:t>
      </w:r>
      <w:r>
        <w:rPr>
          <w:sz w:val="28"/>
        </w:rPr>
        <w:t xml:space="preserve">договоров о размещении нестационарных </w:t>
      </w:r>
      <w:r>
        <w:rPr>
          <w:sz w:val="28"/>
        </w:rPr>
        <w:t xml:space="preserve">торговых объектов, проведения </w:t>
      </w:r>
      <w:r>
        <w:rPr>
          <w:sz w:val="28"/>
        </w:rPr>
        <w:t xml:space="preserve">контрольных мероприятий по проверке соблюдения условий договора и требований к размещению и эксплуатации </w:t>
      </w:r>
      <w:r>
        <w:rPr>
          <w:sz w:val="28"/>
        </w:rPr>
        <w:t>нестационарных торговых объектов.</w:t>
      </w:r>
      <w:r>
        <w:rPr>
          <w:sz w:val="28"/>
        </w:rPr>
        <w:t xml:space="preserve"> </w:t>
      </w:r>
    </w:p>
    <w:p w14:paraId="28000000">
      <w:pPr>
        <w:tabs>
          <w:tab w:leader="none" w:pos="1027" w:val="left"/>
        </w:tabs>
        <w:ind w:firstLine="646" w:left="34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отсутствуют.</w:t>
      </w:r>
    </w:p>
    <w:p w14:paraId="29000000">
      <w:pPr>
        <w:tabs>
          <w:tab w:leader="none" w:pos="1027" w:val="left"/>
        </w:tabs>
        <w:ind w:firstLine="646" w:left="34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асходы потенциальных адресатов предлагаемого прав</w:t>
      </w:r>
      <w:r>
        <w:rPr>
          <w:sz w:val="28"/>
        </w:rPr>
        <w:t>о</w:t>
      </w:r>
      <w:r>
        <w:rPr>
          <w:sz w:val="28"/>
        </w:rPr>
        <w:t>вого регулирования, понесенные от регулирующего воздействия проекта, пре</w:t>
      </w:r>
      <w:r>
        <w:rPr>
          <w:sz w:val="28"/>
        </w:rPr>
        <w:t>д</w:t>
      </w:r>
      <w:r>
        <w:rPr>
          <w:sz w:val="28"/>
        </w:rPr>
        <w:t>полагаются в виде информационных издержек на подготовку</w:t>
      </w:r>
      <w:r>
        <w:rPr>
          <w:sz w:val="28"/>
        </w:rPr>
        <w:t xml:space="preserve"> заявки с пакетом документов для заключения договоров </w:t>
      </w:r>
      <w:r>
        <w:rPr>
          <w:sz w:val="28"/>
        </w:rPr>
        <w:t xml:space="preserve">на право размещения НТО, заключаемых </w:t>
      </w:r>
      <w:r>
        <w:rPr>
          <w:sz w:val="28"/>
        </w:rPr>
        <w:t>без</w:t>
      </w:r>
      <w:r>
        <w:rPr>
          <w:sz w:val="28"/>
        </w:rPr>
        <w:t xml:space="preserve"> проведения конкурсов</w:t>
      </w:r>
      <w:r>
        <w:rPr>
          <w:sz w:val="28"/>
        </w:rPr>
        <w:t xml:space="preserve">, или </w:t>
      </w:r>
      <w:r>
        <w:rPr>
          <w:sz w:val="28"/>
        </w:rPr>
        <w:t>на подготовку</w:t>
      </w:r>
      <w:r>
        <w:rPr>
          <w:sz w:val="28"/>
        </w:rPr>
        <w:t xml:space="preserve"> заявки с пакетом документов для участия в </w:t>
      </w:r>
      <w:r>
        <w:rPr>
          <w:sz w:val="28"/>
        </w:rPr>
        <w:t>открыто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онкурс</w:t>
      </w:r>
      <w:r>
        <w:rPr>
          <w:sz w:val="28"/>
        </w:rPr>
        <w:t>е</w:t>
      </w:r>
      <w:r>
        <w:rPr>
          <w:sz w:val="28"/>
        </w:rPr>
        <w:t xml:space="preserve">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>
        <w:rPr>
          <w:sz w:val="28"/>
        </w:rPr>
        <w:t xml:space="preserve">. С победителем Конкурса заключается договор  </w:t>
      </w:r>
      <w:r>
        <w:rPr>
          <w:sz w:val="28"/>
        </w:rPr>
        <w:t>о размещении НТО на условиях</w:t>
      </w:r>
      <w:r>
        <w:rPr>
          <w:sz w:val="28"/>
        </w:rPr>
        <w:t xml:space="preserve"> и по цене</w:t>
      </w:r>
      <w:r>
        <w:rPr>
          <w:sz w:val="28"/>
        </w:rPr>
        <w:t>, указанн</w:t>
      </w:r>
      <w:r>
        <w:rPr>
          <w:sz w:val="28"/>
        </w:rPr>
        <w:t>ой</w:t>
      </w:r>
      <w:r>
        <w:rPr>
          <w:sz w:val="28"/>
        </w:rPr>
        <w:t xml:space="preserve"> в заявке на участие в Конкурсе, поданной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Конкурса.</w:t>
      </w:r>
    </w:p>
    <w:p w14:paraId="2A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Рассчитать размер всех возможных расходов по группе потенциальных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ресатов правового регулирования не представляется возможным, в связи с </w:t>
      </w:r>
      <w:r>
        <w:rPr>
          <w:rFonts w:ascii="Times New Roman" w:hAnsi="Times New Roman"/>
          <w:sz w:val="28"/>
        </w:rPr>
        <w:t>тем, что р</w:t>
      </w:r>
      <w:r>
        <w:rPr>
          <w:rFonts w:ascii="Times New Roman" w:hAnsi="Times New Roman"/>
          <w:sz w:val="28"/>
        </w:rPr>
        <w:t>азмер платы за размещение НТО</w:t>
      </w:r>
      <w:r>
        <w:rPr>
          <w:rFonts w:ascii="Times New Roman" w:hAnsi="Times New Roman"/>
          <w:sz w:val="28"/>
        </w:rPr>
        <w:t xml:space="preserve"> определяется по результатам Конкурса, а также с учетом </w:t>
      </w:r>
      <w:r>
        <w:rPr>
          <w:rFonts w:ascii="Times New Roman" w:hAnsi="Times New Roman"/>
          <w:sz w:val="28"/>
        </w:rPr>
        <w:t>начальной цены предмета Конкурса, сформированной на основании отчета независимого эксперта, подготовленного в соответствии с Федеральным законом от 29 июля 1998 года №135-ФЗ «Об оценочной деятельности в Российской Федерации»</w:t>
      </w:r>
      <w:r>
        <w:rPr>
          <w:rFonts w:ascii="Times New Roman" w:hAnsi="Times New Roman"/>
          <w:sz w:val="28"/>
        </w:rPr>
        <w:t>.</w:t>
      </w:r>
    </w:p>
    <w:p w14:paraId="2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  <w:r>
        <w:rPr>
          <w:sz w:val="28"/>
        </w:rPr>
        <w:t xml:space="preserve">      Необоснованные расходы, связанные с регулирующим воздействием проекта, отсутствуют. </w:t>
      </w:r>
    </w:p>
    <w:p w14:paraId="2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Р</w:t>
      </w:r>
      <w:r>
        <w:rPr>
          <w:rFonts w:ascii="Times New Roman" w:hAnsi="Times New Roman"/>
          <w:sz w:val="28"/>
        </w:rPr>
        <w:t>асходы бюджета муниципального образова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 xml:space="preserve">   Доходы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район, </w:t>
      </w:r>
      <w:r>
        <w:rPr>
          <w:sz w:val="28"/>
        </w:rPr>
        <w:t>получе</w:t>
      </w:r>
      <w:r>
        <w:rPr>
          <w:sz w:val="28"/>
        </w:rPr>
        <w:t xml:space="preserve">нные от регулирующего воздействия предлагаемого проекта </w:t>
      </w:r>
      <w:r>
        <w:rPr>
          <w:sz w:val="28"/>
        </w:rPr>
        <w:t>муниципального нормативного правового акта</w:t>
      </w:r>
      <w:r>
        <w:rPr>
          <w:sz w:val="28"/>
        </w:rPr>
        <w:t xml:space="preserve"> предполагаются и зависят  </w:t>
      </w:r>
      <w:r>
        <w:rPr>
          <w:sz w:val="28"/>
        </w:rPr>
        <w:t xml:space="preserve">от результатов проведения торгов на право размещения нестационарных торговых объектов </w:t>
      </w:r>
      <w:r>
        <w:rPr>
          <w:sz w:val="28"/>
        </w:rPr>
        <w:t>, также от количества обращений на  предоставление</w:t>
      </w:r>
      <w:r>
        <w:rPr>
          <w:sz w:val="28"/>
        </w:rPr>
        <w:t xml:space="preserve"> прав</w:t>
      </w:r>
      <w:r>
        <w:rPr>
          <w:sz w:val="28"/>
        </w:rPr>
        <w:t>а на</w:t>
      </w:r>
      <w:r>
        <w:rPr>
          <w:sz w:val="28"/>
        </w:rPr>
        <w:t xml:space="preserve"> размещения нестационарных торговых объектов</w:t>
      </w:r>
      <w:r>
        <w:rPr>
          <w:sz w:val="28"/>
        </w:rPr>
        <w:t>, в том числе  на льготных условиях (предоставление муниципальных преференций).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6"/>
        </w:rPr>
        <w:t xml:space="preserve">     </w:t>
      </w:r>
      <w:r>
        <w:rPr>
          <w:color w:val="000000"/>
          <w:sz w:val="28"/>
        </w:rPr>
        <w:t xml:space="preserve">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01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 по 14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г.</w:t>
      </w:r>
    </w:p>
    <w:p w14:paraId="2F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"http://viselki.net"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</w:t>
      </w:r>
      <w:r>
        <w:rPr>
          <w:rStyle w:val="Style_4_ch"/>
          <w:sz w:val="28"/>
        </w:rPr>
        <w:t>://</w:t>
      </w:r>
      <w:r>
        <w:rPr>
          <w:rStyle w:val="Style_4_ch"/>
          <w:sz w:val="28"/>
        </w:rPr>
        <w:t>viselki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net</w:t>
      </w:r>
      <w:r>
        <w:rPr>
          <w:rStyle w:val="Style_4_ch"/>
          <w:sz w:val="28"/>
        </w:rPr>
        <w:fldChar w:fldCharType="end"/>
      </w:r>
      <w:r>
        <w:rPr>
          <w:sz w:val="28"/>
        </w:rPr>
        <w:t>).</w:t>
      </w:r>
    </w:p>
    <w:p w14:paraId="30000000">
      <w:pPr>
        <w:pStyle w:val="Style_5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31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32000000">
      <w:pPr>
        <w:tabs>
          <w:tab w:leader="none" w:pos="1168" w:val="left"/>
          <w:tab w:leader="none" w:pos="1354" w:val="left"/>
        </w:tabs>
        <w:ind w:firstLine="51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33000000">
      <w:pPr>
        <w:rPr>
          <w:sz w:val="26"/>
        </w:rPr>
      </w:pPr>
    </w:p>
    <w:p w14:paraId="34000000">
      <w:pPr>
        <w:rPr>
          <w:sz w:val="26"/>
        </w:rPr>
      </w:pPr>
    </w:p>
    <w:p w14:paraId="35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36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37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38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39000000">
      <w:pPr>
        <w:rPr>
          <w:color w:val="000000"/>
          <w:sz w:val="26"/>
        </w:rPr>
      </w:pPr>
    </w:p>
    <w:p w14:paraId="3A000000">
      <w:pPr>
        <w:rPr>
          <w:color w:val="000000"/>
          <w:sz w:val="28"/>
        </w:rPr>
      </w:pPr>
      <w:r>
        <w:rPr>
          <w:color w:val="000000"/>
          <w:sz w:val="26"/>
        </w:rPr>
        <w:t xml:space="preserve">                                                                                                                 </w:t>
      </w:r>
      <w:r>
        <w:rPr>
          <w:color w:val="000000"/>
          <w:sz w:val="28"/>
        </w:rPr>
        <w:t xml:space="preserve">   21</w:t>
      </w:r>
      <w:r>
        <w:rPr>
          <w:color w:val="000000"/>
          <w:sz w:val="28"/>
        </w:rPr>
        <w:t>.02</w:t>
      </w:r>
      <w:r>
        <w:rPr>
          <w:color w:val="000000"/>
          <w:sz w:val="28"/>
        </w:rPr>
        <w:t>.2024</w:t>
      </w:r>
    </w:p>
    <w:p w14:paraId="3B000000">
      <w:pPr>
        <w:rPr>
          <w:color w:val="000000"/>
          <w:sz w:val="20"/>
        </w:rPr>
      </w:pPr>
    </w:p>
    <w:p w14:paraId="3C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Без интервала"/>
    <w:link w:val="Style_10_ch"/>
    <w:rPr>
      <w:rFonts w:ascii="Calibri" w:hAnsi="Calibri"/>
      <w:sz w:val="22"/>
    </w:rPr>
  </w:style>
  <w:style w:styleId="Style_10_ch" w:type="character">
    <w:name w:val="Без интервала"/>
    <w:link w:val="Style_10"/>
    <w:rPr>
      <w:rFonts w:ascii="Calibri" w:hAnsi="Calibri"/>
      <w:sz w:val="22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"/>
    <w:basedOn w:val="Style_6"/>
    <w:link w:val="Style_13_ch"/>
    <w:pPr>
      <w:ind w:firstLine="720" w:left="0"/>
      <w:jc w:val="both"/>
    </w:pPr>
    <w:rPr>
      <w:sz w:val="28"/>
    </w:rPr>
  </w:style>
  <w:style w:styleId="Style_13_ch" w:type="character">
    <w:name w:val="Body Text Indent"/>
    <w:basedOn w:val="Style_6_ch"/>
    <w:link w:val="Style_13"/>
    <w:rPr>
      <w:sz w:val="28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Нормальный (таблица)"/>
    <w:basedOn w:val="Style_6"/>
    <w:next w:val="Style_6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6_ch"/>
    <w:link w:val="Style_2"/>
    <w:rPr>
      <w:rFonts w:ascii="Arial" w:hAnsi="Arial"/>
    </w:rPr>
  </w:style>
  <w:style w:styleId="Style_15" w:type="paragraph">
    <w:name w:val="Гипертекстовая ссылка"/>
    <w:link w:val="Style_15_ch"/>
    <w:rPr>
      <w:b w:val="1"/>
      <w:color w:val="106BBE"/>
    </w:rPr>
  </w:style>
  <w:style w:styleId="Style_15_ch" w:type="character">
    <w:name w:val="Гипертекстовая ссылка"/>
    <w:link w:val="Style_15"/>
    <w:rPr>
      <w:b w:val="1"/>
      <w:color w:val="106BBE"/>
    </w:rPr>
  </w:style>
  <w:style w:styleId="Style_16" w:type="paragraph">
    <w:name w:val="Основной текст1"/>
    <w:basedOn w:val="Style_6"/>
    <w:link w:val="Style_16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16_ch" w:type="character">
    <w:name w:val="Основной текст1"/>
    <w:basedOn w:val="Style_6_ch"/>
    <w:link w:val="Style_16"/>
    <w:rPr>
      <w:color w:val="000000"/>
      <w:sz w:val="27"/>
    </w:rPr>
  </w:style>
  <w:style w:styleId="Style_17" w:type="paragraph">
    <w:name w:val="header"/>
    <w:basedOn w:val="Style_6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6_ch"/>
    <w:link w:val="Style_17"/>
  </w:style>
  <w:style w:styleId="Style_18" w:type="paragraph">
    <w:name w:val="ConsPlusTitle"/>
    <w:link w:val="Style_18_ch"/>
    <w:pPr>
      <w:widowControl w:val="0"/>
      <w:ind/>
    </w:pPr>
    <w:rPr>
      <w:b w:val="1"/>
      <w:sz w:val="24"/>
    </w:rPr>
  </w:style>
  <w:style w:styleId="Style_18_ch" w:type="character">
    <w:name w:val="ConsPlusTitle"/>
    <w:link w:val="Style_18"/>
    <w:rPr>
      <w:b w:val="1"/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rmal (Web)"/>
    <w:basedOn w:val="Style_6"/>
    <w:link w:val="Style_20_ch"/>
    <w:pPr>
      <w:spacing w:after="119" w:beforeAutospacing="on"/>
      <w:ind/>
    </w:pPr>
  </w:style>
  <w:style w:styleId="Style_20_ch" w:type="character">
    <w:name w:val="Normal (Web)"/>
    <w:basedOn w:val="Style_6_ch"/>
    <w:link w:val="Style_20"/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6_ch"/>
    <w:link w:val="Style_1"/>
    <w:rPr>
      <w:b w:val="1"/>
      <w:color w:val="000000"/>
      <w:spacing w:val="-16"/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2024-02-22T14:46:58Z</dcterms:modified>
</cp:coreProperties>
</file>