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Регулирующий орган: </w:t>
      </w:r>
      <w:r>
        <w:rPr>
          <w:rFonts w:ascii="Times New Roman" w:hAnsi="Times New Roman"/>
          <w:sz w:val="28"/>
        </w:rPr>
        <w:t xml:space="preserve">Финансовое управление администрации  муниципального образования Выселковский район 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Выселковский район «</w:t>
      </w:r>
      <w:bookmarkEnd w:id="1"/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район»</w:t>
      </w:r>
    </w:p>
    <w:p w14:paraId="0B000000">
      <w:pPr>
        <w:pStyle w:val="Style_3"/>
        <w:ind w:firstLine="851" w:left="0"/>
      </w:pPr>
      <w:r>
        <w:rPr>
          <w:b w:val="1"/>
        </w:rPr>
        <w:t xml:space="preserve"> </w:t>
      </w:r>
      <w:r>
        <w:t>1.3. Предполагаемая дата вступления в силу муниципального нормативного правового акта:</w:t>
      </w:r>
      <w:r>
        <w:t xml:space="preserve"> июл</w:t>
      </w:r>
      <w:r>
        <w:t>ь 2023</w:t>
      </w:r>
      <w:r>
        <w:t xml:space="preserve"> года</w:t>
      </w:r>
      <w:r>
        <w:t>, со дня обнародования.</w:t>
      </w:r>
    </w:p>
    <w:p w14:paraId="0C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Краткое описание проблемы, на решение которой направлено предлагаемое правовое регулирование:</w:t>
      </w:r>
      <w:r>
        <w:t xml:space="preserve"> </w:t>
      </w:r>
      <w:r>
        <w:rPr>
          <w:rFonts w:ascii="Times New Roman" w:hAnsi="Times New Roman"/>
          <w:sz w:val="28"/>
        </w:rPr>
        <w:t>несоответствие действующего НПА федеральному , краевому законодательству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 xml:space="preserve">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>Федерального  закона</w:t>
      </w:r>
      <w:r>
        <w:rPr>
          <w:rFonts w:ascii="Times New Roman" w:hAnsi="Times New Roman"/>
          <w:sz w:val="28"/>
        </w:rPr>
        <w:t xml:space="preserve">  от  21   ноября  2022  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rFonts w:ascii="Times New Roman" w:hAnsi="Times New Roman"/>
          <w:sz w:val="28"/>
        </w:rPr>
        <w:t>.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0"/>
      </w:tblGrid>
      <w:tr>
        <w:trPr>
          <w:trHeight w:hRule="atLeast" w:val="169"/>
        </w:trPr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</w:p>
          <w:p w14:paraId="0E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 Краткое описание целей предполагаемого правового регулирования: </w:t>
      </w:r>
      <w:r>
        <w:rPr>
          <w:rFonts w:ascii="Times New Roman" w:hAnsi="Times New Roman"/>
          <w:color w:val="000000"/>
          <w:sz w:val="28"/>
        </w:rPr>
        <w:t xml:space="preserve">целью является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риведение </w:t>
      </w:r>
      <w:r>
        <w:rPr>
          <w:rFonts w:ascii="Times New Roman" w:hAnsi="Times New Roman"/>
          <w:color w:val="000000"/>
          <w:sz w:val="28"/>
        </w:rPr>
        <w:t xml:space="preserve">Порядка </w:t>
      </w:r>
      <w:r>
        <w:rPr>
          <w:rFonts w:ascii="Times New Roman" w:hAnsi="Times New Roman"/>
          <w:color w:val="000000"/>
          <w:sz w:val="28"/>
        </w:rPr>
        <w:t xml:space="preserve">по казначейскому сопровождению средств, предоставляемых из бюджета муниципального образования Выселковский район </w:t>
      </w:r>
      <w:r>
        <w:rPr>
          <w:rFonts w:ascii="Times New Roman" w:hAnsi="Times New Roman"/>
          <w:color w:val="000000"/>
          <w:sz w:val="28"/>
        </w:rPr>
        <w:t xml:space="preserve">в соответствие с действующим </w:t>
      </w:r>
      <w:r>
        <w:rPr>
          <w:rFonts w:ascii="Times New Roman" w:hAnsi="Times New Roman"/>
          <w:color w:val="000000"/>
          <w:sz w:val="28"/>
        </w:rPr>
        <w:t xml:space="preserve">федеральным, краевым  </w:t>
      </w:r>
      <w:r>
        <w:rPr>
          <w:rFonts w:ascii="Times New Roman" w:hAnsi="Times New Roman"/>
          <w:color w:val="000000"/>
          <w:sz w:val="28"/>
        </w:rPr>
        <w:t>законодательством с целью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контроля</w:t>
      </w:r>
      <w:r>
        <w:rPr>
          <w:rFonts w:ascii="Times New Roman" w:hAnsi="Times New Roman"/>
          <w:sz w:val="28"/>
        </w:rPr>
        <w:t xml:space="preserve"> за расходованием денежных средств из бюджета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2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1.6. Краткое описание содержания предлагаемого правового регулирования: принять </w:t>
      </w:r>
      <w:r>
        <w:rPr>
          <w:rFonts w:ascii="Times New Roman" w:hAnsi="Times New Roman"/>
          <w:color w:val="000000"/>
          <w:sz w:val="28"/>
        </w:rPr>
        <w:t>Порядок</w:t>
      </w:r>
      <w:r>
        <w:rPr>
          <w:rFonts w:ascii="Times New Roman" w:hAnsi="Times New Roman"/>
          <w:color w:val="000000"/>
          <w:sz w:val="28"/>
        </w:rPr>
        <w:t xml:space="preserve"> по казначейскому сопровождению средств, предоставляемых из бюджета 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образования Выселковский район </w:t>
      </w:r>
      <w:r>
        <w:rPr>
          <w:rFonts w:ascii="Times New Roman" w:hAnsi="Times New Roman"/>
          <w:color w:val="000000"/>
          <w:sz w:val="28"/>
        </w:rPr>
        <w:t>в соответствие с нормами  действующего законодательства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 Степень регулирующего воздействия  - </w:t>
      </w:r>
      <w:r>
        <w:rPr>
          <w:rFonts w:ascii="Times New Roman" w:hAnsi="Times New Roman"/>
          <w:sz w:val="28"/>
        </w:rPr>
        <w:t>средняя</w:t>
      </w:r>
      <w:r>
        <w:rPr>
          <w:rFonts w:ascii="Times New Roman" w:hAnsi="Times New Roman"/>
          <w:sz w:val="28"/>
        </w:rPr>
        <w:t xml:space="preserve">. </w:t>
      </w:r>
    </w:p>
    <w:p w14:paraId="12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</w:t>
      </w:r>
      <w:r>
        <w:rPr>
          <w:rFonts w:ascii="Times New Roman" w:hAnsi="Times New Roman"/>
          <w:sz w:val="28"/>
        </w:rPr>
        <w:t>Проект муниципального</w:t>
      </w:r>
      <w:r>
        <w:rPr>
          <w:rFonts w:ascii="Times New Roman" w:hAnsi="Times New Roman"/>
          <w:sz w:val="28"/>
        </w:rPr>
        <w:t xml:space="preserve"> нормативного правового акта содержит положения, изменяющие ранее предусмотренные муниципальным нормативным правовым акт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правила осуществления финансовым управлением администрации муниципального образования Выселковский район казначейского сопровождения средств, предоставляемых </w:t>
      </w:r>
      <w:r>
        <w:rPr>
          <w:rFonts w:ascii="Times New Roman" w:hAnsi="Times New Roman"/>
          <w:sz w:val="28"/>
        </w:rPr>
        <w:t>из бюджета муниципального образования Выселковский район, в соответствии со статьей 242.26 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Контактная информация исполнителя в регулирующем органе:</w:t>
      </w: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 </w:t>
      </w:r>
      <w:r>
        <w:rPr>
          <w:rFonts w:ascii="Times New Roman" w:hAnsi="Times New Roman"/>
          <w:sz w:val="28"/>
        </w:rPr>
        <w:t>Колесникова Ирина Алексеевна</w:t>
      </w:r>
      <w:r>
        <w:rPr>
          <w:rFonts w:ascii="Times New Roman" w:hAnsi="Times New Roman"/>
          <w:sz w:val="28"/>
        </w:rPr>
        <w:t xml:space="preserve">, заместитель главы муниципального образования Выселковский район, </w:t>
      </w:r>
    </w:p>
    <w:p w14:paraId="15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 (861 57) 73-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08</w:t>
      </w:r>
    </w:p>
    <w:p w14:paraId="16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</w:rPr>
        <w:t>vslfin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kuban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</w:p>
    <w:p w14:paraId="1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Описание проблемы, на решение которой направлено предлагаемое правовое регулирование:</w:t>
      </w:r>
      <w:r>
        <w:t xml:space="preserve"> </w:t>
      </w:r>
      <w:r>
        <w:rPr>
          <w:rFonts w:ascii="Times New Roman" w:hAnsi="Times New Roman"/>
          <w:sz w:val="28"/>
        </w:rPr>
        <w:t>несоответствие действующего нормативно-правового акта нормам  федерального законодательства.</w:t>
      </w:r>
    </w:p>
    <w:p w14:paraId="1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>Федерального  закона  от  21   ноября  2022  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14:paraId="1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принятие </w:t>
      </w:r>
      <w:r>
        <w:rPr>
          <w:rFonts w:ascii="Times New Roman" w:hAnsi="Times New Roman"/>
          <w:sz w:val="28"/>
        </w:rPr>
        <w:t>Федерального  закона  от  21   ноября  2022  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году».</w:t>
      </w:r>
    </w:p>
    <w:p w14:paraId="1A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юридические лица, индивидуальные предприниматели, крестьянские (фермерские) хозяйства и физические лица, которые пр</w:t>
      </w:r>
      <w:r>
        <w:rPr>
          <w:rFonts w:ascii="Times New Roman" w:hAnsi="Times New Roman"/>
          <w:sz w:val="28"/>
        </w:rPr>
        <w:t>оизводят товары, работы, услуги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 казначейского сопровождения</w:t>
      </w:r>
      <w:r>
        <w:rPr>
          <w:rFonts w:ascii="Times New Roman" w:hAnsi="Times New Roman"/>
          <w:sz w:val="28"/>
        </w:rPr>
        <w:t xml:space="preserve"> (далее участники казначейского сопровождения)</w:t>
      </w:r>
      <w:r>
        <w:rPr>
          <w:rFonts w:ascii="Times New Roman" w:hAnsi="Times New Roman"/>
          <w:sz w:val="28"/>
        </w:rPr>
        <w:t xml:space="preserve">  -</w:t>
      </w:r>
      <w:r>
        <w:rPr>
          <w:rFonts w:ascii="Times New Roman" w:hAnsi="Times New Roman"/>
          <w:color w:val="000000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</w:rPr>
        <w:t xml:space="preserve"> несоответствие </w:t>
      </w:r>
      <w:r>
        <w:rPr>
          <w:rFonts w:ascii="Times New Roman" w:hAnsi="Times New Roman"/>
          <w:sz w:val="28"/>
        </w:rPr>
        <w:t xml:space="preserve">Порядка по казначейскому сопровождению средств, предоставляемых из бюджета муниципального образования Выселковский район </w:t>
      </w:r>
      <w:r>
        <w:rPr>
          <w:rFonts w:ascii="Times New Roman" w:hAnsi="Times New Roman"/>
          <w:sz w:val="28"/>
        </w:rPr>
        <w:t>действующему законодательству.</w:t>
      </w:r>
    </w:p>
    <w:p w14:paraId="1C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2.5. </w:t>
      </w:r>
      <w:r>
        <w:rPr>
          <w:rFonts w:ascii="Times New Roman" w:hAnsi="Times New Roman"/>
          <w:sz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ринятие </w:t>
      </w:r>
      <w:r>
        <w:rPr>
          <w:rFonts w:ascii="Times New Roman" w:hAnsi="Times New Roman"/>
          <w:sz w:val="28"/>
        </w:rPr>
        <w:t xml:space="preserve">Федерального  закона  от  21   ноября  2022  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</w:t>
      </w:r>
      <w:r>
        <w:rPr>
          <w:rFonts w:ascii="Times New Roman" w:hAnsi="Times New Roman"/>
          <w:sz w:val="28"/>
        </w:rPr>
        <w:t>Российской Федерации и об установлении особенностей исполнения бюджетов бюджетной системы Российской Федерации в 2023 году».</w:t>
      </w:r>
    </w:p>
    <w:p w14:paraId="1D000000">
      <w:pPr>
        <w:pStyle w:val="Style_5"/>
        <w:ind w:firstLine="708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14:paraId="1E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</w:t>
      </w:r>
      <w:bookmarkStart w:id="2" w:name="_Hlk511037802"/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по казначейскому сопровождению средств, предоставляемых из бюджета муниципального образования Выселковский район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Источники данных:</w:t>
      </w:r>
      <w:bookmarkEnd w:id="2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14:paraId="20000000">
      <w:pPr>
        <w:pStyle w:val="Style_6"/>
        <w:ind w:firstLine="851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2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3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3"/>
      <w:r>
        <w:rPr>
          <w:rFonts w:ascii="Times New Roman" w:hAnsi="Times New Roman"/>
          <w:sz w:val="28"/>
        </w:rPr>
        <w:t>:</w:t>
      </w:r>
    </w:p>
    <w:p w14:paraId="22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57"/>
        <w:gridCol w:w="2723"/>
        <w:gridCol w:w="3372"/>
      </w:tblGrid>
      <w:tr>
        <w:trPr>
          <w:trHeight w:hRule="atLeast" w:val="1647"/>
        </w:trPr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 Цели предлагаемого правового регулирования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4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type="dxa" w:w="3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470"/>
        </w:trPr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7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Приведение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Порядка по казначейскому сопровождению средств, 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редоставляемых из бюджета муниципального образования Выселковский район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соответствие с действующим законодательством с целью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контроля за расходованием денежных средств из бюджета</w:t>
            </w:r>
          </w:p>
        </w:tc>
        <w:tc>
          <w:tcPr>
            <w:tcW w:type="dxa" w:w="2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даты вступления в силу настоящего постановления</w:t>
            </w:r>
          </w:p>
        </w:tc>
        <w:tc>
          <w:tcPr>
            <w:tcW w:type="dxa" w:w="3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мониторинге достижения цели не нуждается</w:t>
            </w:r>
          </w:p>
        </w:tc>
      </w:tr>
    </w:tbl>
    <w:p w14:paraId="2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 закон</w:t>
      </w:r>
      <w:r>
        <w:rPr>
          <w:rFonts w:ascii="Times New Roman" w:hAnsi="Times New Roman"/>
          <w:sz w:val="28"/>
        </w:rPr>
        <w:t xml:space="preserve"> от  21   ноября  2022  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r>
        <w:rPr>
          <w:rFonts w:ascii="Times New Roman" w:hAnsi="Times New Roman"/>
          <w:sz w:val="28"/>
        </w:rPr>
        <w:t>особенностей исполнения бюджетов бюджетной системы Российской Федерации в 2023 году».</w:t>
      </w:r>
    </w:p>
    <w:p w14:paraId="2B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5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Приведение </w:t>
            </w:r>
            <w:r>
              <w:rPr>
                <w:rFonts w:ascii="Times New Roman" w:hAnsi="Times New Roman"/>
                <w:color w:val="000000"/>
                <w:sz w:val="20"/>
              </w:rPr>
              <w:t>Порядка по казначейскому сопровождению средств, предоставляемых из бюджета муниципального образования Выселковский район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соответствие с действующим законодательством с целью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контроля за расходованием денежных средств из бюджета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постановления администрации муниципального образования Выселковский район </w:t>
            </w:r>
            <w:r>
              <w:rPr>
                <w:rFonts w:ascii="Times New Roman" w:hAnsi="Times New Roman"/>
              </w:rPr>
              <w:t xml:space="preserve"> «Об утверждении  Порядка по казначейскому сопровождению средств , предоставляемых из  бюджета муниципального образования Выселковский район»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2023</w:t>
            </w:r>
            <w:r>
              <w:rPr>
                <w:rFonts w:ascii="Times New Roman" w:hAnsi="Times New Roman"/>
              </w:rPr>
              <w:t xml:space="preserve">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14:paraId="34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>
        <w:rPr>
          <w:rFonts w:ascii="Times New Roman" w:hAnsi="Times New Roman"/>
          <w:sz w:val="28"/>
        </w:rPr>
        <w:t xml:space="preserve">Принятие постановления администрации муниципального </w:t>
      </w: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«Об утверждении  Порядка по казначейскому сопровождению средств, предоставляемых из  бюджета </w:t>
      </w:r>
      <w:r>
        <w:rPr>
          <w:rFonts w:ascii="Times New Roman" w:hAnsi="Times New Roman"/>
          <w:sz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</w:rPr>
        <w:t>».</w:t>
      </w:r>
    </w:p>
    <w:p w14:paraId="36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 xml:space="preserve">   </w:t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8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317"/>
        <w:gridCol w:w="2379"/>
        <w:gridCol w:w="2099"/>
      </w:tblGrid>
      <w:tr>
        <w:trPr>
          <w:trHeight w:hRule="atLeast" w:val="1532"/>
        </w:trPr>
        <w:tc>
          <w:tcPr>
            <w:tcW w:type="dxa" w:w="5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6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1270"/>
        </w:trPr>
        <w:tc>
          <w:tcPr>
            <w:tcW w:type="dxa" w:w="5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Участники казначейского сопровождения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2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ограничено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3F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40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5. Изменение функций (полномочий, обязанностей, прав) органов местного самоуправления муниципального образования Выселковский район, а </w:t>
      </w:r>
      <w:r>
        <w:rPr>
          <w:rFonts w:ascii="Times New Roman" w:hAnsi="Times New Roman"/>
          <w:sz w:val="28"/>
        </w:rPr>
        <w:t>также порядка их реализации в связи с введением предлагаемого правового регулирования:</w:t>
      </w:r>
    </w:p>
    <w:p w14:paraId="41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p w14:paraId="42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560"/>
        <w:gridCol w:w="113"/>
        <w:gridCol w:w="1871"/>
        <w:gridCol w:w="1559"/>
      </w:tblGrid>
      <w:tr>
        <w:trPr>
          <w:trHeight w:hRule="atLeast" w:val="2244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bookmarkStart w:id="7" w:name="sub_100051"/>
            <w:r>
              <w:rPr>
                <w:rFonts w:ascii="Times New Roman" w:hAnsi="Times New Roman"/>
              </w:rPr>
              <w:t>5.1. Наименование функции (полномочия, обязанности</w:t>
            </w:r>
          </w:p>
          <w:p w14:paraId="44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7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>
          <w:trHeight w:hRule="atLeast" w:val="410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управление администрации </w:t>
            </w:r>
            <w:r>
              <w:rPr>
                <w:rFonts w:ascii="Times New Roman" w:hAnsi="Times New Roman"/>
                <w:sz w:val="24"/>
              </w:rPr>
              <w:t xml:space="preserve"> муниципального образования Выселковский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Казначейское </w:t>
            </w:r>
            <w:r>
              <w:rPr>
                <w:rFonts w:ascii="Times New Roman" w:hAnsi="Times New Roman"/>
              </w:rPr>
              <w:t xml:space="preserve">сопровождению средств, предоставляемых из бюджета муниципального </w:t>
            </w:r>
            <w:r>
              <w:rPr>
                <w:rFonts w:ascii="Times New Roman" w:hAnsi="Times New Roman"/>
              </w:rPr>
              <w:t xml:space="preserve">образования Выселковский район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pStyle w:val="Style_8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изменяется </w:t>
            </w:r>
          </w:p>
        </w:tc>
        <w:tc>
          <w:tcPr>
            <w:tcW w:type="dxa" w:w="1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утвержденному</w:t>
            </w:r>
            <w:r>
              <w:rPr>
                <w:rFonts w:ascii="Times New Roman" w:hAnsi="Times New Roman"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Порядку</w:t>
            </w:r>
            <w:r>
              <w:rPr>
                <w:rFonts w:ascii="Times New Roman" w:hAnsi="Times New Roman"/>
                <w:sz w:val="20"/>
              </w:rPr>
              <w:t xml:space="preserve"> по казначейскому сопровождению </w:t>
            </w:r>
          </w:p>
          <w:p w14:paraId="4D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средств, предоставляемых из бюджета муниципального </w:t>
            </w:r>
          </w:p>
          <w:p w14:paraId="4E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образования Выселковский район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pStyle w:val="Style_10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</w:t>
            </w:r>
          </w:p>
          <w:p w14:paraId="50000000">
            <w:pPr>
              <w:pStyle w:val="Style_10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штатной</w:t>
            </w:r>
          </w:p>
          <w:p w14:paraId="51000000">
            <w:pPr>
              <w:pStyle w:val="Style_10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численности</w:t>
            </w:r>
          </w:p>
          <w:p w14:paraId="52000000">
            <w:pPr>
              <w:pStyle w:val="Style_10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сотрудников</w:t>
            </w:r>
          </w:p>
          <w:p w14:paraId="53000000">
            <w:pPr>
              <w:pStyle w:val="Style_10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pStyle w:val="Style_1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55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6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  <w:bookmarkStart w:id="8" w:name="_GoBack"/>
      <w:bookmarkEnd w:id="8"/>
    </w:p>
    <w:p w14:paraId="57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instrText>HYPERLINK \l "sub_100051"</w:instrTex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t>подпунктом 5.1 пункта 5</w: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настоящего сводного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12"/>
              <w:ind w:firstLine="0" w:left="480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1.</w:t>
            </w:r>
            <w:r>
              <w:rPr>
                <w:rFonts w:ascii="Times New Roman" w:hAnsi="Times New Roman"/>
                <w:b w:val="0"/>
                <w:sz w:val="26"/>
              </w:rPr>
              <w:tab/>
            </w:r>
            <w:r>
              <w:rPr>
                <w:rFonts w:ascii="Times New Roman" w:hAnsi="Times New Roman"/>
                <w:b w:val="0"/>
                <w:sz w:val="26"/>
              </w:rPr>
              <w:t>Финансовое управление администрации  муниципального образования Выселковский район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Казначейское сопровождению средств, предоставляемых из </w:t>
            </w:r>
            <w:r>
              <w:rPr>
                <w:rFonts w:ascii="Times New Roman" w:hAnsi="Times New Roman"/>
              </w:rPr>
              <w:t>бюджета муниципального образования Выселковский район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6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pStyle w:val="Style_2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6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6F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7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74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5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76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77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7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79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7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instrText>HYPERLINK \l "sub_100041"</w:instrTex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t>подпунктом 4.1 пункта 4</w: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</w:t>
            </w:r>
            <w:r>
              <w:rPr>
                <w:rFonts w:ascii="Times New Roman" w:hAnsi="Times New Roman"/>
                <w:sz w:val="26"/>
              </w:rPr>
              <w:t xml:space="preserve"> сводного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млн.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7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Участники казначейского сопровождения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требований об осуществлении казначейского сопровождения </w:t>
            </w:r>
            <w:r>
              <w:rPr>
                <w:rFonts w:ascii="Times New Roman" w:hAnsi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Порядком по казначейскому сопровождению </w:t>
            </w:r>
          </w:p>
          <w:p w14:paraId="85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средств, предоставляемых из бюджета муниципального </w:t>
            </w:r>
          </w:p>
          <w:p w14:paraId="86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Выселковский район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пакета документов</w:t>
            </w:r>
            <w:r>
              <w:rPr>
                <w:rFonts w:ascii="Times New Roman" w:hAnsi="Times New Roman"/>
                <w:sz w:val="24"/>
              </w:rPr>
              <w:t>-оснований расходования целевых средств.</w:t>
            </w:r>
          </w:p>
          <w:p w14:paraId="8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—</w:t>
            </w:r>
          </w:p>
        </w:tc>
      </w:tr>
    </w:tbl>
    <w:p w14:paraId="8A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8B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возможность </w:t>
      </w:r>
      <w:r>
        <w:rPr>
          <w:rFonts w:ascii="Times New Roman" w:hAnsi="Times New Roman"/>
          <w:sz w:val="28"/>
        </w:rPr>
        <w:t>принятия участия в муниципальных торгах</w:t>
      </w:r>
      <w:r>
        <w:rPr>
          <w:rFonts w:ascii="Times New Roman" w:hAnsi="Times New Roman"/>
          <w:sz w:val="28"/>
        </w:rPr>
        <w:t xml:space="preserve"> для заключения контракта на поставку товаров, выполнение работ, оказании услуг.</w:t>
      </w:r>
    </w:p>
    <w:p w14:paraId="8C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8D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8E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97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98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9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9A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1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2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предлагаемого правового регулирования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принятие предлагаемого правового регулирования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A5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казначейского сопровождения</w:t>
            </w:r>
            <w:r>
              <w:rPr>
                <w:rFonts w:ascii="Times New Roman" w:hAnsi="Times New Roman"/>
                <w:sz w:val="24"/>
              </w:rPr>
              <w:t xml:space="preserve"> Количественная оценка численности – не ограничено.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</w:p>
        </w:tc>
      </w:tr>
      <w:tr>
        <w:trPr>
          <w:trHeight w:hRule="atLeast" w:val="198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пакета документов-оснований расходования целевых средств.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7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7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9.5. Оценка возможности достижения заявленных целей регулирования </w:t>
            </w: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instrText>HYPERLINK \l "sub_10003"</w:instrTex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t>пункт 3</w:t>
            </w:r>
            <w:r>
              <w:rPr>
                <w:rStyle w:val="Style_11_ch"/>
                <w:rFonts w:ascii="Times New Roman" w:hAnsi="Times New Roman"/>
                <w:b w:val="0"/>
                <w:color w:val="00000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6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B4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B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B6000000">
      <w:pPr>
        <w:pStyle w:val="Style_2"/>
        <w:spacing w:after="6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Вариант 1. Позволит утвердить </w:t>
      </w:r>
      <w:r>
        <w:rPr>
          <w:rFonts w:ascii="Times New Roman" w:hAnsi="Times New Roman"/>
          <w:sz w:val="28"/>
        </w:rPr>
        <w:t xml:space="preserve">проект постановления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>«Об утверждении  Порядка по казначейскому сопровождению средств , предоставляемых из бюджета муниципального образования Выселковский район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Выявленная </w:t>
      </w:r>
      <w:r>
        <w:rPr>
          <w:rFonts w:ascii="Times New Roman" w:hAnsi="Times New Roman"/>
          <w:sz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/>
          <w:sz w:val="28"/>
        </w:rPr>
        <w:t>.</w:t>
      </w:r>
    </w:p>
    <w:p w14:paraId="B7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9.8. Детальное описание </w:t>
      </w:r>
      <w:r>
        <w:rPr>
          <w:rFonts w:ascii="Times New Roman" w:hAnsi="Times New Roman"/>
          <w:sz w:val="28"/>
        </w:rPr>
        <w:t>предлагаемого варианта решения проблемы: утверждение проекта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 Порядка по казн</w:t>
      </w:r>
      <w:r>
        <w:rPr>
          <w:rFonts w:ascii="Times New Roman" w:hAnsi="Times New Roman"/>
          <w:sz w:val="28"/>
        </w:rPr>
        <w:t>ачейскому сопровождению средств</w:t>
      </w:r>
      <w:r>
        <w:rPr>
          <w:rFonts w:ascii="Times New Roman" w:hAnsi="Times New Roman"/>
          <w:sz w:val="28"/>
        </w:rPr>
        <w:t xml:space="preserve">, предоставляемых из </w:t>
      </w:r>
      <w:r>
        <w:rPr>
          <w:rFonts w:ascii="Times New Roman" w:hAnsi="Times New Roman"/>
          <w:sz w:val="28"/>
        </w:rPr>
        <w:t>бюджета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r>
        <w:tab/>
      </w:r>
    </w:p>
    <w:p w14:paraId="B8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B9000000">
      <w:pPr>
        <w:pStyle w:val="Style_13"/>
        <w:rPr>
          <w:rFonts w:ascii="Times New Roman" w:hAnsi="Times New Roman"/>
          <w:b w:val="0"/>
          <w:sz w:val="28"/>
        </w:rPr>
      </w:pPr>
      <w:r>
        <w:tab/>
      </w:r>
      <w:r>
        <w:rPr>
          <w:rFonts w:ascii="Times New Roman" w:hAnsi="Times New Roman"/>
          <w:b w:val="0"/>
          <w:sz w:val="28"/>
        </w:rPr>
        <w:t>10.1.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b w:val="0"/>
          <w:sz w:val="28"/>
        </w:rPr>
        <w:t>июл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 2023</w:t>
      </w:r>
      <w:r>
        <w:rPr>
          <w:rFonts w:ascii="Times New Roman" w:hAnsi="Times New Roman"/>
          <w:b w:val="0"/>
          <w:sz w:val="28"/>
        </w:rPr>
        <w:t>года, со дня обнародования.</w:t>
      </w:r>
    </w:p>
    <w:p w14:paraId="BA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BB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BC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BD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14:paraId="BE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B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C0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C1000000">
      <w:pPr>
        <w:pStyle w:val="Style_2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>09</w:t>
      </w:r>
      <w:r>
        <w:rPr>
          <w:rFonts w:ascii="Times New Roman" w:hAnsi="Times New Roman"/>
          <w:sz w:val="27"/>
        </w:rPr>
        <w:t xml:space="preserve">» </w:t>
      </w:r>
      <w:r>
        <w:rPr>
          <w:rFonts w:ascii="Times New Roman" w:hAnsi="Times New Roman"/>
          <w:sz w:val="27"/>
        </w:rPr>
        <w:t>июня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года</w:t>
      </w:r>
    </w:p>
    <w:p w14:paraId="C2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3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Layout w:type="fixed"/>
      </w:tblPr>
      <w:tblGrid>
        <w:gridCol w:w="4819"/>
        <w:gridCol w:w="4819"/>
      </w:tblGrid>
      <w:tr>
        <w:tc>
          <w:tcPr>
            <w:tcW w:type="dxa" w:w="4819"/>
          </w:tcPr>
          <w:p w14:paraId="C4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муниципального</w:t>
            </w:r>
          </w:p>
          <w:p w14:paraId="C5000000">
            <w:pPr>
              <w:pStyle w:val="Style_2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>образования Выселковский район</w:t>
            </w:r>
          </w:p>
        </w:tc>
        <w:tc>
          <w:tcPr>
            <w:tcW w:type="dxa" w:w="4819"/>
          </w:tcPr>
          <w:p w14:paraId="C6000000">
            <w:pPr>
              <w:pStyle w:val="Style_2"/>
              <w:ind/>
              <w:jc w:val="both"/>
              <w:rPr>
                <w:rFonts w:ascii="Times New Roman" w:hAnsi="Times New Roman"/>
                <w:sz w:val="27"/>
              </w:rPr>
            </w:pPr>
          </w:p>
          <w:p w14:paraId="C7000000">
            <w:pPr>
              <w:pStyle w:val="Style_2"/>
              <w:ind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>И.А.Колесникова</w:t>
            </w:r>
          </w:p>
        </w:tc>
      </w:tr>
    </w:tbl>
    <w:p w14:paraId="C8000000">
      <w:pPr>
        <w:pStyle w:val="Style_2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020" w:footer="709" w:gutter="0" w:header="709" w:left="1701" w:right="567" w:top="102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200" w:line="276" w:lineRule="auto"/>
      <w:ind/>
    </w:pPr>
  </w:style>
  <w:style w:default="1" w:styleId="Style_14_ch" w:type="character">
    <w:name w:val="Normal"/>
    <w:link w:val="Style_14"/>
  </w:style>
  <w:style w:styleId="Style_15" w:type="paragraph">
    <w:name w:val="Balloon Text Char"/>
    <w:basedOn w:val="Style_16"/>
    <w:link w:val="Style_15_ch"/>
    <w:rPr>
      <w:rFonts w:ascii="Times New Roman" w:hAnsi="Times New Roman"/>
      <w:sz w:val="2"/>
    </w:rPr>
  </w:style>
  <w:style w:styleId="Style_15_ch" w:type="character">
    <w:name w:val="Balloon Text Char"/>
    <w:basedOn w:val="Style_16_ch"/>
    <w:link w:val="Style_15"/>
    <w:rPr>
      <w:rFonts w:ascii="Times New Roman" w:hAnsi="Times New Roman"/>
      <w:sz w:val="2"/>
    </w:rPr>
  </w:style>
  <w:style w:styleId="Style_17" w:type="paragraph">
    <w:name w:val="toc 2"/>
    <w:next w:val="Style_14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14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9" w:type="paragraph">
    <w:name w:val="Balloon Text"/>
    <w:basedOn w:val="Style_14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14_ch"/>
    <w:link w:val="Style_9"/>
    <w:rPr>
      <w:rFonts w:ascii="Segoe UI" w:hAnsi="Segoe UI"/>
      <w:sz w:val="18"/>
    </w:rPr>
  </w:style>
  <w:style w:styleId="Style_19" w:type="paragraph">
    <w:name w:val="toc 6"/>
    <w:next w:val="Style_14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4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heading 3"/>
    <w:next w:val="Style_14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7" w:type="paragraph">
    <w:name w:val="Прижатый влево"/>
    <w:basedOn w:val="Style_14"/>
    <w:next w:val="Style_14"/>
    <w:link w:val="Style_7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7_ch" w:type="character">
    <w:name w:val="Прижатый влево"/>
    <w:basedOn w:val="Style_14_ch"/>
    <w:link w:val="Style_7"/>
    <w:rPr>
      <w:rFonts w:ascii="Arial" w:hAnsi="Arial"/>
      <w:sz w:val="24"/>
    </w:rPr>
  </w:style>
  <w:style w:styleId="Style_3" w:type="paragraph">
    <w:name w:val="Body Text Indent"/>
    <w:basedOn w:val="Style_14"/>
    <w:link w:val="Style_3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3_ch" w:type="character">
    <w:name w:val="Body Text Indent"/>
    <w:basedOn w:val="Style_14_ch"/>
    <w:link w:val="Style_3"/>
    <w:rPr>
      <w:rFonts w:ascii="Times New Roman" w:hAnsi="Times New Roman"/>
      <w:sz w:val="28"/>
    </w:rPr>
  </w:style>
  <w:style w:styleId="Style_8" w:type="paragraph">
    <w:name w:val="ConsPlusNormal"/>
    <w:link w:val="Style_8_ch"/>
    <w:pPr>
      <w:widowControl w:val="0"/>
      <w:ind/>
    </w:pPr>
  </w:style>
  <w:style w:styleId="Style_8_ch" w:type="character">
    <w:name w:val="ConsPlusNormal"/>
    <w:link w:val="Style_8"/>
  </w:style>
  <w:style w:styleId="Style_2" w:type="paragraph">
    <w:name w:val="No Spacing"/>
    <w:link w:val="Style_2_ch"/>
  </w:style>
  <w:style w:styleId="Style_2_ch" w:type="character">
    <w:name w:val="No Spacing"/>
    <w:link w:val="Style_2"/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4_ch"/>
    <w:link w:val="Style_1"/>
  </w:style>
  <w:style w:styleId="Style_6" w:type="paragraph">
    <w:name w:val="Нормальный (таблица)"/>
    <w:basedOn w:val="Style_14"/>
    <w:next w:val="Style_14"/>
    <w:link w:val="Style_6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6_ch" w:type="character">
    <w:name w:val="Нормальный (таблица)"/>
    <w:basedOn w:val="Style_14_ch"/>
    <w:link w:val="Style_6"/>
    <w:rPr>
      <w:rFonts w:ascii="Arial" w:hAnsi="Arial"/>
      <w:sz w:val="24"/>
    </w:rPr>
  </w:style>
  <w:style w:styleId="Style_22" w:type="paragraph">
    <w:name w:val="toc 3"/>
    <w:next w:val="Style_1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Strong"/>
    <w:basedOn w:val="Style_16"/>
    <w:link w:val="Style_23_ch"/>
    <w:rPr>
      <w:b w:val="1"/>
    </w:rPr>
  </w:style>
  <w:style w:styleId="Style_23_ch" w:type="character">
    <w:name w:val="Strong"/>
    <w:basedOn w:val="Style_16_ch"/>
    <w:link w:val="Style_23"/>
    <w:rPr>
      <w:b w:val="1"/>
    </w:rPr>
  </w:style>
  <w:style w:styleId="Style_24" w:type="paragraph">
    <w:name w:val="heading 5"/>
    <w:next w:val="Style_1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12" w:type="paragraph">
    <w:name w:val="heading 1"/>
    <w:basedOn w:val="Style_14"/>
    <w:next w:val="Style_14"/>
    <w:link w:val="Style_12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2_ch" w:type="character">
    <w:name w:val="heading 1"/>
    <w:basedOn w:val="Style_14_ch"/>
    <w:link w:val="Style_12"/>
    <w:rPr>
      <w:rFonts w:ascii="Arial" w:hAnsi="Arial"/>
      <w:b w:val="1"/>
      <w:color w:val="26282F"/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11" w:type="paragraph">
    <w:name w:val="Гипертекстовая ссылка"/>
    <w:link w:val="Style_11_ch"/>
    <w:rPr>
      <w:b w:val="1"/>
      <w:color w:val="106BBE"/>
    </w:rPr>
  </w:style>
  <w:style w:styleId="Style_11_ch" w:type="character">
    <w:name w:val="Гипертекстовая ссылка"/>
    <w:link w:val="Style_11"/>
    <w:rPr>
      <w:b w:val="1"/>
      <w:color w:val="106BBE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1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basedOn w:val="Style_14"/>
    <w:next w:val="Style_14"/>
    <w:link w:val="Style_32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2_ch" w:type="character">
    <w:name w:val="Subtitle"/>
    <w:basedOn w:val="Style_14_ch"/>
    <w:link w:val="Style_32"/>
    <w:rPr>
      <w:rFonts w:asciiTheme="majorAscii" w:hAnsiTheme="majorHAnsi"/>
      <w:i w:val="1"/>
      <w:color w:themeColor="accent1" w:val="4F81BD"/>
      <w:spacing w:val="15"/>
      <w:sz w:val="24"/>
    </w:rPr>
  </w:style>
  <w:style w:styleId="Style_33" w:type="paragraph">
    <w:name w:val="Title"/>
    <w:next w:val="Style_1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13" w:type="paragraph">
    <w:name w:val="heading 4"/>
    <w:next w:val="Style_14"/>
    <w:link w:val="Style_1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_ch" w:type="character">
    <w:name w:val="heading 4"/>
    <w:link w:val="Style_13"/>
    <w:rPr>
      <w:rFonts w:ascii="XO Thames" w:hAnsi="XO Thames"/>
      <w:b w:val="1"/>
      <w:sz w:val="24"/>
    </w:rPr>
  </w:style>
  <w:style w:styleId="Style_34" w:type="paragraph">
    <w:name w:val="Основной текст + 10"/>
    <w:link w:val="Style_34_ch"/>
    <w:rPr>
      <w:rFonts w:ascii="Times New Roman" w:hAnsi="Times New Roman"/>
      <w:color w:val="000000"/>
      <w:spacing w:val="0"/>
      <w:sz w:val="21"/>
      <w:highlight w:val="white"/>
      <w:u w:val="none"/>
    </w:rPr>
  </w:style>
  <w:style w:styleId="Style_34_ch" w:type="character">
    <w:name w:val="Основной текст + 10"/>
    <w:link w:val="Style_34"/>
    <w:rPr>
      <w:rFonts w:ascii="Times New Roman" w:hAnsi="Times New Roman"/>
      <w:color w:val="000000"/>
      <w:spacing w:val="0"/>
      <w:sz w:val="21"/>
      <w:highlight w:val="white"/>
      <w:u w:val="none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5" w:type="paragraph">
    <w:name w:val="heading 2"/>
    <w:next w:val="Style_1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10" w:type="paragraph">
    <w:name w:val="List Paragraph"/>
    <w:basedOn w:val="Style_14"/>
    <w:link w:val="Style_10_ch"/>
    <w:pPr>
      <w:ind w:firstLine="0" w:left="720"/>
      <w:contextualSpacing w:val="1"/>
    </w:pPr>
  </w:style>
  <w:style w:styleId="Style_10_ch" w:type="character">
    <w:name w:val="List Paragraph"/>
    <w:basedOn w:val="Style_14_ch"/>
    <w:link w:val="Style_1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4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2023-06-13T06:41:21Z</dcterms:modified>
</cp:coreProperties>
</file>