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w:t>
      </w:r>
      <w:r>
        <w:rPr>
          <w:rFonts w:ascii="Times New Roman" w:hAnsi="Times New Roman"/>
          <w:sz w:val="28"/>
        </w:rPr>
        <w:t xml:space="preserve"> </w:t>
      </w:r>
      <w:r>
        <w:rPr>
          <w:rFonts w:ascii="Times New Roman" w:hAnsi="Times New Roman"/>
          <w:sz w:val="28"/>
        </w:rPr>
        <w:t>соглашений</w:t>
      </w:r>
      <w:r>
        <w:rPr>
          <w:rFonts w:ascii="Times New Roman" w:hAnsi="Times New Roman"/>
          <w:sz w:val="28"/>
        </w:rPr>
        <w:t xml:space="preserve"> </w:t>
      </w:r>
      <w:r>
        <w:rPr>
          <w:rFonts w:ascii="Times New Roman" w:hAnsi="Times New Roman"/>
          <w:sz w:val="28"/>
        </w:rPr>
        <w:t>о финансовом обеспечении (возмещении) затрат, связанных с оказанием муниципальных услуг в социальной сфере в соответствии с</w:t>
      </w:r>
      <w:r>
        <w:rPr>
          <w:rFonts w:ascii="Times New Roman" w:hAnsi="Times New Roman"/>
          <w:sz w:val="28"/>
        </w:rPr>
        <w:t xml:space="preserve"> социальным сертификатом на получение муниципальной услуги в социальной сфере</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не позднее 7декабря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2023-11-24T13:27:48Z</dcterms:modified>
</cp:coreProperties>
</file>