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11</w:t>
      </w:r>
    </w:p>
    <w:p w14:paraId="02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сессии Совета муниципального образования Выселковский район IV созыва</w:t>
      </w:r>
    </w:p>
    <w:p w14:paraId="03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 2024 года № </w:t>
      </w:r>
      <w:r>
        <w:rPr>
          <w:rFonts w:ascii="Times New Roman" w:hAnsi="Times New Roman"/>
          <w:sz w:val="28"/>
        </w:rPr>
        <w:t>2-461</w:t>
      </w:r>
    </w:p>
    <w:p w14:paraId="04000000">
      <w:pPr>
        <w:pStyle w:val="Style_1"/>
        <w:ind w:firstLine="0" w:left="4252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sz w:val="28"/>
        </w:rPr>
      </w:pPr>
      <w:r>
        <w:rPr>
          <w:sz w:val="28"/>
        </w:rPr>
        <w:t>О</w:t>
      </w:r>
      <w:r>
        <w:rPr>
          <w:sz w:val="28"/>
        </w:rPr>
        <w:t>б</w:t>
      </w:r>
      <w:r>
        <w:rPr>
          <w:sz w:val="28"/>
        </w:rPr>
        <w:t>ъем  бюджетных ассигнований, направляемых на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 xml:space="preserve">социальную поддержку детей и </w:t>
      </w:r>
      <w:r>
        <w:rPr>
          <w:sz w:val="28"/>
        </w:rPr>
        <w:t xml:space="preserve">семей, </w:t>
      </w:r>
      <w:r>
        <w:rPr>
          <w:sz w:val="28"/>
        </w:rPr>
        <w:t>имеющих детей,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на 202</w:t>
      </w:r>
      <w:r>
        <w:rPr>
          <w:sz w:val="28"/>
        </w:rPr>
        <w:t>5</w:t>
      </w:r>
      <w:r>
        <w:rPr>
          <w:sz w:val="28"/>
        </w:rPr>
        <w:t xml:space="preserve"> год и </w:t>
      </w:r>
      <w:r>
        <w:rPr>
          <w:sz w:val="28"/>
        </w:rPr>
        <w:t xml:space="preserve"> план</w:t>
      </w:r>
      <w:r>
        <w:rPr>
          <w:sz w:val="28"/>
        </w:rPr>
        <w:t xml:space="preserve">овый </w:t>
      </w:r>
      <w:r>
        <w:rPr>
          <w:sz w:val="28"/>
        </w:rPr>
        <w:t xml:space="preserve">период </w:t>
      </w:r>
      <w:r>
        <w:rPr>
          <w:sz w:val="28"/>
        </w:rPr>
        <w:t>20</w:t>
      </w:r>
      <w:r>
        <w:rPr>
          <w:sz w:val="28"/>
        </w:rPr>
        <w:t>2</w:t>
      </w:r>
      <w:r>
        <w:rPr>
          <w:sz w:val="28"/>
        </w:rPr>
        <w:t>6</w:t>
      </w:r>
      <w:r>
        <w:rPr>
          <w:sz w:val="28"/>
        </w:rPr>
        <w:t xml:space="preserve"> и 202</w:t>
      </w:r>
      <w:r>
        <w:rPr>
          <w:sz w:val="28"/>
        </w:rPr>
        <w:t>7</w:t>
      </w:r>
      <w:r>
        <w:rPr>
          <w:sz w:val="28"/>
        </w:rPr>
        <w:t xml:space="preserve"> годов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</w:t>
      </w:r>
      <w:r>
        <w:rPr>
          <w:sz w:val="28"/>
        </w:rPr>
        <w:t xml:space="preserve">                     </w:t>
      </w:r>
      <w:r>
        <w:rPr>
          <w:sz w:val="28"/>
        </w:rPr>
        <w:t xml:space="preserve">                                             </w:t>
      </w:r>
      <w:r>
        <w:rPr>
          <w:sz w:val="28"/>
        </w:rPr>
        <w:t xml:space="preserve">   </w:t>
      </w:r>
      <w:r>
        <w:rPr>
          <w:sz w:val="28"/>
        </w:rPr>
        <w:t xml:space="preserve">   </w:t>
      </w:r>
      <w:r>
        <w:rPr>
          <w:sz w:val="28"/>
        </w:rPr>
        <w:t xml:space="preserve">        </w:t>
      </w:r>
      <w:r>
        <w:rPr>
          <w:sz w:val="28"/>
        </w:rPr>
        <w:t xml:space="preserve"> (тыс.рублей)</w:t>
      </w:r>
    </w:p>
    <w:tbl>
      <w:tblPr>
        <w:tblStyle w:val="Style_2"/>
        <w:tblW w:type="auto" w:w="0"/>
        <w:tblInd w:type="dxa" w:w="-43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8"/>
        <w:gridCol w:w="4554"/>
        <w:gridCol w:w="1485"/>
        <w:gridCol w:w="1528"/>
        <w:gridCol w:w="1808"/>
      </w:tblGrid>
      <w:tr>
        <w:tc>
          <w:tcPr>
            <w:tcW w:type="dxa" w:w="6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type="dxa" w:w="4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Направление расходов</w:t>
            </w:r>
          </w:p>
        </w:tc>
        <w:tc>
          <w:tcPr>
            <w:tcW w:type="dxa" w:w="482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годы</w:t>
            </w:r>
          </w:p>
        </w:tc>
      </w:tr>
      <w:tr>
        <w:tc>
          <w:tcPr>
            <w:tcW w:type="dxa" w:w="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</w:p>
        </w:tc>
        <w:tc>
          <w:tcPr>
            <w:tcW w:type="dxa" w:w="1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</w:p>
        </w:tc>
        <w:tc>
          <w:tcPr>
            <w:tcW w:type="dxa" w:w="1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28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455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0000000">
            <w:pPr>
              <w:rPr>
                <w:sz w:val="28"/>
              </w:rPr>
            </w:pPr>
            <w:r>
              <w:rPr>
                <w:sz w:val="28"/>
              </w:rPr>
              <w:t>Осущест</w:t>
            </w:r>
            <w:r>
              <w:rPr>
                <w:sz w:val="28"/>
              </w:rPr>
              <w:t xml:space="preserve">вление </w:t>
            </w:r>
            <w:r>
              <w:rPr>
                <w:sz w:val="28"/>
              </w:rPr>
              <w:t>отдельных госу</w:t>
            </w:r>
            <w:r>
              <w:rPr>
                <w:sz w:val="28"/>
              </w:rPr>
              <w:t>дарственных полномоч</w:t>
            </w:r>
            <w:r>
              <w:rPr>
                <w:sz w:val="28"/>
              </w:rPr>
              <w:t>ий по обеспе</w:t>
            </w:r>
            <w:r>
              <w:rPr>
                <w:sz w:val="28"/>
              </w:rPr>
              <w:t>чению жилыми помещениями детей-с</w:t>
            </w:r>
            <w:r>
              <w:rPr>
                <w:sz w:val="28"/>
              </w:rPr>
              <w:t>ирот и 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тя</w:t>
            </w:r>
            <w:r>
              <w:rPr>
                <w:sz w:val="28"/>
              </w:rPr>
              <w:t>м,</w:t>
            </w:r>
            <w:r>
              <w:rPr>
                <w:sz w:val="28"/>
              </w:rPr>
              <w:t xml:space="preserve"> оставшихся без попечения родителей, лиц их числа детей-сирот и детей</w:t>
            </w:r>
            <w:r>
              <w:rPr>
                <w:sz w:val="28"/>
              </w:rPr>
              <w:t>, о</w:t>
            </w:r>
            <w:r>
              <w:rPr>
                <w:sz w:val="28"/>
              </w:rPr>
              <w:t>ста</w:t>
            </w:r>
            <w:r>
              <w:rPr>
                <w:sz w:val="28"/>
              </w:rPr>
              <w:t>вшихся</w:t>
            </w:r>
            <w:r>
              <w:rPr>
                <w:sz w:val="28"/>
              </w:rPr>
              <w:t xml:space="preserve"> б</w:t>
            </w:r>
            <w:r>
              <w:rPr>
                <w:sz w:val="28"/>
              </w:rPr>
              <w:t>ез</w:t>
            </w:r>
            <w:r>
              <w:rPr>
                <w:sz w:val="28"/>
              </w:rPr>
              <w:t xml:space="preserve"> попечения родителей, в соответствии с Законом Красно</w:t>
            </w:r>
            <w:r>
              <w:rPr>
                <w:sz w:val="28"/>
              </w:rPr>
              <w:t>дарского края «Об об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печен</w:t>
            </w:r>
            <w:r>
              <w:rPr>
                <w:sz w:val="28"/>
              </w:rPr>
              <w:t>ии до</w:t>
            </w:r>
            <w:r>
              <w:rPr>
                <w:sz w:val="28"/>
              </w:rPr>
              <w:t>полнительных гарантий прав на</w:t>
            </w:r>
            <w:r>
              <w:rPr>
                <w:sz w:val="28"/>
              </w:rPr>
              <w:t xml:space="preserve"> имущество и</w:t>
            </w:r>
            <w:r>
              <w:rPr>
                <w:sz w:val="28"/>
              </w:rPr>
              <w:t xml:space="preserve"> жилое помещение детей-сирот и детей, ост</w:t>
            </w:r>
            <w:r>
              <w:rPr>
                <w:sz w:val="28"/>
              </w:rPr>
              <w:t>ав</w:t>
            </w:r>
            <w:r>
              <w:rPr>
                <w:sz w:val="28"/>
              </w:rPr>
              <w:t>ши</w:t>
            </w:r>
            <w:r>
              <w:rPr>
                <w:sz w:val="28"/>
              </w:rPr>
              <w:t>хся без попечения родителей, в Краснодарском крае»</w:t>
            </w:r>
          </w:p>
        </w:tc>
        <w:tc>
          <w:tcPr>
            <w:tcW w:type="dxa" w:w="1485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1000000">
            <w:pPr>
              <w:ind/>
              <w:jc w:val="center"/>
              <w:rPr>
                <w:sz w:val="28"/>
              </w:rPr>
            </w:pPr>
          </w:p>
          <w:p w14:paraId="12000000">
            <w:pPr>
              <w:ind/>
              <w:jc w:val="center"/>
              <w:rPr>
                <w:sz w:val="28"/>
              </w:rPr>
            </w:pPr>
          </w:p>
          <w:p w14:paraId="13000000">
            <w:pPr>
              <w:ind/>
              <w:jc w:val="center"/>
              <w:rPr>
                <w:sz w:val="28"/>
              </w:rPr>
            </w:pPr>
          </w:p>
          <w:p w14:paraId="14000000">
            <w:pPr>
              <w:ind/>
              <w:jc w:val="center"/>
              <w:rPr>
                <w:sz w:val="28"/>
              </w:rPr>
            </w:pPr>
          </w:p>
          <w:p w14:paraId="15000000">
            <w:pPr>
              <w:ind/>
              <w:jc w:val="center"/>
              <w:rPr>
                <w:sz w:val="28"/>
              </w:rPr>
            </w:pPr>
          </w:p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266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528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ind/>
              <w:jc w:val="center"/>
              <w:rPr>
                <w:sz w:val="28"/>
              </w:rPr>
            </w:pPr>
          </w:p>
          <w:p w14:paraId="18000000">
            <w:pPr>
              <w:ind/>
              <w:jc w:val="center"/>
              <w:rPr>
                <w:sz w:val="28"/>
              </w:rPr>
            </w:pPr>
          </w:p>
          <w:p w14:paraId="19000000">
            <w:pPr>
              <w:ind/>
              <w:jc w:val="center"/>
              <w:rPr>
                <w:sz w:val="28"/>
              </w:rPr>
            </w:pPr>
          </w:p>
          <w:p w14:paraId="1A000000">
            <w:pPr>
              <w:ind/>
              <w:jc w:val="center"/>
              <w:rPr>
                <w:sz w:val="28"/>
              </w:rPr>
            </w:pPr>
          </w:p>
          <w:p w14:paraId="1B000000">
            <w:pPr>
              <w:ind/>
              <w:jc w:val="center"/>
              <w:rPr>
                <w:sz w:val="28"/>
              </w:rPr>
            </w:pPr>
          </w:p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733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  <w:tc>
          <w:tcPr>
            <w:tcW w:type="dxa" w:w="1808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1D000000">
            <w:pPr>
              <w:ind/>
              <w:jc w:val="center"/>
              <w:rPr>
                <w:sz w:val="28"/>
              </w:rPr>
            </w:pPr>
          </w:p>
          <w:p w14:paraId="1E000000">
            <w:pPr>
              <w:ind/>
              <w:jc w:val="center"/>
              <w:rPr>
                <w:sz w:val="28"/>
              </w:rPr>
            </w:pPr>
          </w:p>
          <w:p w14:paraId="1F000000">
            <w:pPr>
              <w:ind/>
              <w:jc w:val="center"/>
              <w:rPr>
                <w:sz w:val="28"/>
              </w:rPr>
            </w:pPr>
          </w:p>
          <w:p w14:paraId="20000000">
            <w:pPr>
              <w:ind/>
              <w:jc w:val="center"/>
              <w:rPr>
                <w:sz w:val="28"/>
              </w:rPr>
            </w:pPr>
          </w:p>
          <w:p w14:paraId="21000000">
            <w:pPr>
              <w:ind/>
              <w:jc w:val="center"/>
              <w:rPr>
                <w:sz w:val="28"/>
              </w:rPr>
            </w:pPr>
          </w:p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733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ind w:firstLine="540" w:left="-540"/>
              <w:jc w:val="center"/>
              <w:rPr>
                <w:sz w:val="28"/>
              </w:rPr>
            </w:pP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Осуществление отдельных государственных полномочий по в</w:t>
            </w:r>
            <w:r>
              <w:rPr>
                <w:sz w:val="28"/>
              </w:rPr>
              <w:t xml:space="preserve">ыплате </w:t>
            </w:r>
            <w:r>
              <w:rPr>
                <w:sz w:val="28"/>
              </w:rPr>
              <w:t>ежемесячного вознаграждения, причи</w:t>
            </w:r>
            <w:r>
              <w:rPr>
                <w:sz w:val="28"/>
              </w:rPr>
              <w:t>тающегося пр</w:t>
            </w:r>
            <w:r>
              <w:rPr>
                <w:sz w:val="28"/>
              </w:rPr>
              <w:t>иемным родителям за оказание услуг по воспитан</w:t>
            </w:r>
            <w:r>
              <w:rPr>
                <w:sz w:val="28"/>
              </w:rPr>
              <w:t>ию приемных детей</w:t>
            </w: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ind/>
              <w:jc w:val="center"/>
              <w:rPr>
                <w:sz w:val="28"/>
              </w:rPr>
            </w:pPr>
          </w:p>
          <w:p w14:paraId="2B000000">
            <w:pPr>
              <w:ind/>
              <w:jc w:val="center"/>
              <w:rPr>
                <w:sz w:val="28"/>
              </w:rPr>
            </w:pPr>
          </w:p>
          <w:p w14:paraId="2C000000">
            <w:pPr>
              <w:ind/>
              <w:jc w:val="center"/>
              <w:rPr>
                <w:sz w:val="28"/>
              </w:rPr>
            </w:pPr>
          </w:p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594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</w:p>
          <w:p w14:paraId="2F000000">
            <w:pPr>
              <w:ind/>
              <w:jc w:val="center"/>
              <w:rPr>
                <w:sz w:val="28"/>
              </w:rPr>
            </w:pPr>
          </w:p>
          <w:p w14:paraId="30000000">
            <w:pPr>
              <w:ind/>
              <w:jc w:val="center"/>
              <w:rPr>
                <w:sz w:val="28"/>
              </w:rPr>
            </w:pPr>
          </w:p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826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ind/>
              <w:jc w:val="center"/>
              <w:rPr>
                <w:sz w:val="28"/>
              </w:rPr>
            </w:pPr>
          </w:p>
          <w:p w14:paraId="33000000">
            <w:pPr>
              <w:ind/>
              <w:jc w:val="center"/>
              <w:rPr>
                <w:sz w:val="28"/>
              </w:rPr>
            </w:pPr>
          </w:p>
          <w:p w14:paraId="34000000">
            <w:pPr>
              <w:ind/>
              <w:jc w:val="center"/>
              <w:rPr>
                <w:sz w:val="28"/>
              </w:rPr>
            </w:pPr>
          </w:p>
          <w:p w14:paraId="3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826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A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rPr>
                <w:sz w:val="28"/>
              </w:rPr>
            </w:pPr>
            <w:r>
              <w:rPr>
                <w:sz w:val="28"/>
              </w:rPr>
              <w:t>Осуществ</w:t>
            </w:r>
            <w:r>
              <w:rPr>
                <w:sz w:val="28"/>
              </w:rPr>
              <w:t>лени</w:t>
            </w:r>
            <w:r>
              <w:rPr>
                <w:sz w:val="28"/>
              </w:rPr>
              <w:t xml:space="preserve">е отдельных </w:t>
            </w:r>
            <w:r>
              <w:rPr>
                <w:sz w:val="28"/>
              </w:rPr>
              <w:t>государственных полномочий по выплате  ежемесячных денежных средств на содер</w:t>
            </w:r>
            <w:r>
              <w:rPr>
                <w:sz w:val="28"/>
              </w:rPr>
              <w:t>жание детей-сирот и детей, оставшихся без попечения родите</w:t>
            </w:r>
            <w:r>
              <w:rPr>
                <w:sz w:val="28"/>
              </w:rPr>
              <w:t>лей, наход</w:t>
            </w:r>
            <w:r>
              <w:rPr>
                <w:sz w:val="28"/>
              </w:rPr>
              <w:t>ящихся под опекой (попеч</w:t>
            </w:r>
            <w:r>
              <w:rPr>
                <w:sz w:val="28"/>
              </w:rPr>
              <w:t>ительством), включая предварительную опеку (попечи-тельство), пе</w:t>
            </w:r>
            <w:r>
              <w:rPr>
                <w:sz w:val="28"/>
              </w:rPr>
              <w:t>реданных</w:t>
            </w:r>
            <w:r>
              <w:rPr>
                <w:sz w:val="28"/>
              </w:rPr>
              <w:t xml:space="preserve"> на </w:t>
            </w:r>
            <w:r>
              <w:rPr>
                <w:sz w:val="28"/>
              </w:rPr>
              <w:t>воспитание в</w:t>
            </w:r>
            <w:r>
              <w:rPr>
                <w:sz w:val="28"/>
              </w:rPr>
              <w:t xml:space="preserve"> приемную семью</w:t>
            </w: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ind/>
              <w:jc w:val="center"/>
              <w:rPr>
                <w:sz w:val="28"/>
              </w:rPr>
            </w:pPr>
          </w:p>
          <w:p w14:paraId="3E000000">
            <w:pPr>
              <w:ind/>
              <w:jc w:val="center"/>
              <w:rPr>
                <w:sz w:val="28"/>
              </w:rPr>
            </w:pPr>
          </w:p>
          <w:p w14:paraId="3F000000">
            <w:pPr>
              <w:ind/>
              <w:jc w:val="center"/>
              <w:rPr>
                <w:sz w:val="28"/>
              </w:rPr>
            </w:pPr>
          </w:p>
          <w:p w14:paraId="40000000">
            <w:pPr>
              <w:ind/>
              <w:jc w:val="center"/>
              <w:rPr>
                <w:sz w:val="28"/>
              </w:rPr>
            </w:pPr>
          </w:p>
          <w:p w14:paraId="41000000">
            <w:pPr>
              <w:ind/>
              <w:jc w:val="center"/>
              <w:rPr>
                <w:sz w:val="28"/>
              </w:rPr>
            </w:pPr>
          </w:p>
          <w:p w14:paraId="4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ind/>
              <w:jc w:val="center"/>
              <w:rPr>
                <w:sz w:val="28"/>
              </w:rPr>
            </w:pPr>
          </w:p>
          <w:p w14:paraId="44000000">
            <w:pPr>
              <w:ind/>
              <w:jc w:val="center"/>
              <w:rPr>
                <w:sz w:val="28"/>
              </w:rPr>
            </w:pPr>
          </w:p>
          <w:p w14:paraId="45000000">
            <w:pPr>
              <w:ind/>
              <w:jc w:val="center"/>
              <w:rPr>
                <w:sz w:val="28"/>
              </w:rPr>
            </w:pPr>
          </w:p>
          <w:p w14:paraId="46000000">
            <w:pPr>
              <w:ind/>
              <w:jc w:val="center"/>
              <w:rPr>
                <w:sz w:val="28"/>
              </w:rPr>
            </w:pPr>
          </w:p>
          <w:p w14:paraId="47000000">
            <w:pPr>
              <w:ind/>
              <w:jc w:val="center"/>
              <w:rPr>
                <w:sz w:val="28"/>
              </w:rPr>
            </w:pPr>
          </w:p>
          <w:p w14:paraId="4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780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9000000">
            <w:pPr>
              <w:rPr>
                <w:sz w:val="28"/>
              </w:rPr>
            </w:pPr>
          </w:p>
          <w:p w14:paraId="4A000000">
            <w:pPr>
              <w:rPr>
                <w:sz w:val="28"/>
              </w:rPr>
            </w:pPr>
          </w:p>
          <w:p w14:paraId="4B000000">
            <w:pPr>
              <w:rPr>
                <w:sz w:val="28"/>
              </w:rPr>
            </w:pPr>
          </w:p>
          <w:p w14:paraId="4C000000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14:paraId="4D000000">
            <w:pPr>
              <w:rPr>
                <w:sz w:val="28"/>
              </w:rPr>
            </w:pPr>
          </w:p>
          <w:p w14:paraId="4E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771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rPr>
                <w:sz w:val="28"/>
              </w:rPr>
            </w:pPr>
            <w:r>
              <w:rPr>
                <w:sz w:val="28"/>
              </w:rPr>
              <w:t>Ос</w:t>
            </w:r>
            <w:r>
              <w:rPr>
                <w:sz w:val="28"/>
              </w:rPr>
              <w:t>уществление отдельных государственных полномочий по выплате   компенсации части родительской платы за пр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смотр и уход за детьми, посещающими образовательные</w:t>
            </w:r>
            <w:r>
              <w:rPr>
                <w:sz w:val="28"/>
              </w:rPr>
              <w:t xml:space="preserve"> организ</w:t>
            </w:r>
            <w:r>
              <w:rPr>
                <w:sz w:val="28"/>
              </w:rPr>
              <w:t>ации</w:t>
            </w:r>
            <w:r>
              <w:rPr>
                <w:sz w:val="28"/>
              </w:rPr>
              <w:t>, реализующи</w:t>
            </w:r>
            <w:r>
              <w:rPr>
                <w:sz w:val="28"/>
              </w:rPr>
              <w:t>е образовательную программу дошкольного образования</w:t>
            </w: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ind/>
              <w:jc w:val="center"/>
              <w:rPr>
                <w:sz w:val="28"/>
              </w:rPr>
            </w:pPr>
          </w:p>
          <w:p w14:paraId="57000000">
            <w:pPr>
              <w:ind/>
              <w:jc w:val="center"/>
              <w:rPr>
                <w:sz w:val="28"/>
              </w:rPr>
            </w:pPr>
          </w:p>
          <w:p w14:paraId="58000000">
            <w:pPr>
              <w:ind/>
              <w:jc w:val="center"/>
              <w:rPr>
                <w:sz w:val="28"/>
              </w:rPr>
            </w:pPr>
          </w:p>
          <w:p w14:paraId="59000000">
            <w:pPr>
              <w:ind/>
              <w:jc w:val="center"/>
              <w:rPr>
                <w:sz w:val="28"/>
              </w:rPr>
            </w:pPr>
          </w:p>
          <w:p w14:paraId="5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417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ind/>
              <w:jc w:val="center"/>
              <w:rPr>
                <w:sz w:val="28"/>
              </w:rPr>
            </w:pPr>
          </w:p>
          <w:p w14:paraId="5C000000">
            <w:pPr>
              <w:ind/>
              <w:jc w:val="center"/>
              <w:rPr>
                <w:sz w:val="28"/>
              </w:rPr>
            </w:pPr>
          </w:p>
          <w:p w14:paraId="5D000000">
            <w:pPr>
              <w:ind/>
              <w:jc w:val="center"/>
              <w:rPr>
                <w:sz w:val="28"/>
              </w:rPr>
            </w:pPr>
          </w:p>
          <w:p w14:paraId="5E000000">
            <w:pPr>
              <w:ind/>
              <w:jc w:val="center"/>
              <w:rPr>
                <w:sz w:val="28"/>
              </w:rPr>
            </w:pPr>
          </w:p>
          <w:p w14:paraId="5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417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0000000">
            <w:pPr>
              <w:ind/>
              <w:jc w:val="center"/>
              <w:rPr>
                <w:sz w:val="28"/>
              </w:rPr>
            </w:pPr>
          </w:p>
          <w:p w14:paraId="61000000">
            <w:pPr>
              <w:ind/>
              <w:jc w:val="center"/>
              <w:rPr>
                <w:sz w:val="28"/>
              </w:rPr>
            </w:pPr>
          </w:p>
          <w:p w14:paraId="62000000">
            <w:pPr>
              <w:ind/>
              <w:jc w:val="center"/>
              <w:rPr>
                <w:sz w:val="28"/>
              </w:rPr>
            </w:pPr>
          </w:p>
          <w:p w14:paraId="63000000">
            <w:pPr>
              <w:ind/>
              <w:jc w:val="center"/>
              <w:rPr>
                <w:sz w:val="28"/>
              </w:rPr>
            </w:pPr>
          </w:p>
          <w:p w14:paraId="6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41</w:t>
            </w:r>
            <w:r>
              <w:rPr>
                <w:sz w:val="28"/>
              </w:rPr>
              <w:t>7,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9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rPr>
                <w:sz w:val="28"/>
              </w:rPr>
            </w:pP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E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.</w:t>
            </w: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rPr>
                <w:sz w:val="28"/>
              </w:rPr>
            </w:pPr>
            <w:r>
              <w:rPr>
                <w:sz w:val="28"/>
              </w:rPr>
              <w:t>Обеспечение отдыха и оздоровлен</w:t>
            </w:r>
            <w:r>
              <w:rPr>
                <w:sz w:val="28"/>
              </w:rPr>
              <w:t>ие дет</w:t>
            </w:r>
            <w:r>
              <w:rPr>
                <w:sz w:val="28"/>
              </w:rPr>
              <w:t xml:space="preserve">ей в </w:t>
            </w:r>
            <w:r>
              <w:rPr>
                <w:sz w:val="28"/>
              </w:rPr>
              <w:t>Выселковском районе</w:t>
            </w: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ind/>
              <w:jc w:val="center"/>
              <w:rPr>
                <w:sz w:val="28"/>
              </w:rPr>
            </w:pPr>
          </w:p>
          <w:p w14:paraId="7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ind/>
              <w:jc w:val="center"/>
              <w:rPr>
                <w:sz w:val="28"/>
              </w:rPr>
            </w:pPr>
          </w:p>
          <w:p w14:paraId="7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410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7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553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  <w:p w14:paraId="77000000">
            <w:pPr>
              <w:ind/>
              <w:jc w:val="center"/>
              <w:rPr>
                <w:sz w:val="28"/>
              </w:rPr>
            </w:pPr>
          </w:p>
          <w:p w14:paraId="78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rPr>
                <w:sz w:val="28"/>
              </w:rPr>
            </w:pPr>
            <w:r>
              <w:rPr>
                <w:sz w:val="28"/>
              </w:rPr>
              <w:t>Обеспечение пи</w:t>
            </w:r>
            <w:r>
              <w:rPr>
                <w:sz w:val="28"/>
              </w:rPr>
              <w:t>танием обучающихся в общеобразовательных организациях</w:t>
            </w: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ind/>
              <w:jc w:val="center"/>
              <w:rPr>
                <w:i w:val="1"/>
                <w:sz w:val="28"/>
              </w:rPr>
            </w:pPr>
          </w:p>
          <w:p w14:paraId="7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331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ind/>
              <w:jc w:val="center"/>
              <w:rPr>
                <w:sz w:val="28"/>
              </w:rPr>
            </w:pPr>
          </w:p>
          <w:p w14:paraId="7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211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F000000">
            <w:pPr>
              <w:ind/>
              <w:jc w:val="center"/>
              <w:rPr>
                <w:sz w:val="28"/>
                <w:highlight w:val="yellow"/>
              </w:rPr>
            </w:pPr>
          </w:p>
          <w:p w14:paraId="80000000">
            <w:pPr>
              <w:ind/>
              <w:jc w:val="center"/>
              <w:rPr>
                <w:sz w:val="28"/>
                <w:highlight w:val="yellow"/>
              </w:rPr>
            </w:pPr>
            <w:r>
              <w:rPr>
                <w:sz w:val="28"/>
              </w:rPr>
              <w:t>87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572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45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rPr>
                <w:sz w:val="28"/>
              </w:rPr>
            </w:pPr>
            <w:r>
              <w:rPr>
                <w:sz w:val="28"/>
              </w:rPr>
              <w:t>Ито</w:t>
            </w:r>
            <w:r>
              <w:rPr>
                <w:sz w:val="28"/>
              </w:rPr>
              <w:t>го</w:t>
            </w:r>
          </w:p>
        </w:tc>
        <w:tc>
          <w:tcPr>
            <w:tcW w:type="dxa" w:w="148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444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  <w:tc>
          <w:tcPr>
            <w:tcW w:type="dxa" w:w="15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379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  <w:tc>
          <w:tcPr>
            <w:tcW w:type="dxa" w:w="180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92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87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</w:tbl>
    <w:p w14:paraId="86000000">
      <w:pPr>
        <w:rPr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</w:rPr>
        <w:t xml:space="preserve">                            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</w:t>
      </w:r>
    </w:p>
    <w:p w14:paraId="87000000">
      <w:pPr>
        <w:rPr>
          <w:sz w:val="28"/>
        </w:rPr>
      </w:pPr>
    </w:p>
    <w:p w14:paraId="88000000">
      <w:pPr>
        <w:rPr>
          <w:sz w:val="28"/>
        </w:rPr>
      </w:pPr>
      <w:r>
        <w:rPr>
          <w:sz w:val="28"/>
        </w:rPr>
        <w:t>З</w:t>
      </w:r>
      <w:r>
        <w:rPr>
          <w:sz w:val="28"/>
        </w:rPr>
        <w:t>аместитель главы муниципального образования</w:t>
      </w:r>
    </w:p>
    <w:p w14:paraId="89000000">
      <w:pPr>
        <w:rPr>
          <w:sz w:val="28"/>
        </w:rPr>
      </w:pPr>
      <w:r>
        <w:rPr>
          <w:sz w:val="28"/>
        </w:rPr>
        <w:t>Выселковски</w:t>
      </w:r>
      <w:r>
        <w:rPr>
          <w:sz w:val="28"/>
        </w:rPr>
        <w:t>й район, начальник финансо</w:t>
      </w:r>
      <w:r>
        <w:rPr>
          <w:sz w:val="28"/>
        </w:rPr>
        <w:t>вого</w:t>
      </w:r>
    </w:p>
    <w:p w14:paraId="8A000000">
      <w:pPr>
        <w:rPr>
          <w:sz w:val="28"/>
        </w:rPr>
      </w:pPr>
      <w:r>
        <w:rPr>
          <w:sz w:val="28"/>
        </w:rPr>
        <w:t>у</w:t>
      </w:r>
      <w:r>
        <w:rPr>
          <w:sz w:val="28"/>
        </w:rPr>
        <w:t>пр</w:t>
      </w:r>
      <w:r>
        <w:rPr>
          <w:sz w:val="28"/>
        </w:rPr>
        <w:t>авления ад</w:t>
      </w:r>
      <w:r>
        <w:rPr>
          <w:sz w:val="28"/>
        </w:rPr>
        <w:t>министрации муницип</w:t>
      </w:r>
      <w:r>
        <w:rPr>
          <w:sz w:val="28"/>
        </w:rPr>
        <w:t>ального</w:t>
      </w:r>
    </w:p>
    <w:p w14:paraId="8B000000">
      <w:pPr>
        <w:rPr>
          <w:sz w:val="28"/>
        </w:rPr>
      </w:pPr>
      <w:r>
        <w:rPr>
          <w:sz w:val="28"/>
        </w:rPr>
        <w:t xml:space="preserve">образования Выселковский район                   </w:t>
      </w:r>
      <w:r>
        <w:rPr>
          <w:sz w:val="28"/>
        </w:rPr>
        <w:t xml:space="preserve">                         И.А.</w:t>
      </w:r>
      <w:r>
        <w:rPr>
          <w:sz w:val="28"/>
        </w:rPr>
        <w:t xml:space="preserve"> </w:t>
      </w:r>
      <w:r>
        <w:rPr>
          <w:sz w:val="28"/>
        </w:rPr>
        <w:t>Колеснико</w:t>
      </w:r>
      <w:r>
        <w:rPr>
          <w:sz w:val="28"/>
        </w:rPr>
        <w:t>ва</w:t>
      </w:r>
    </w:p>
    <w:sectPr>
      <w:pgSz w:h="16838" w:orient="portrait" w:w="11906"/>
      <w:pgMar w:bottom="851" w:footer="709" w:gutter="0" w:header="709" w:left="170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5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2024-12-19T07:16:11Z</dcterms:modified>
</cp:coreProperties>
</file>