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567" w:rsidRPr="007427E7" w:rsidRDefault="00B43567" w:rsidP="007427E7">
      <w:pPr>
        <w:pStyle w:val="a3"/>
        <w:shd w:val="clear" w:color="auto" w:fill="FFFFFF"/>
        <w:spacing w:before="0" w:beforeAutospacing="0" w:line="276" w:lineRule="auto"/>
        <w:jc w:val="center"/>
        <w:rPr>
          <w:sz w:val="28"/>
          <w:szCs w:val="28"/>
        </w:rPr>
      </w:pPr>
      <w:bookmarkStart w:id="0" w:name="_GoBack"/>
      <w:r w:rsidRPr="007427E7">
        <w:rPr>
          <w:rStyle w:val="a4"/>
          <w:sz w:val="28"/>
          <w:szCs w:val="28"/>
        </w:rPr>
        <w:t>Обязанности продавцов (изготовителей, исполнителей)</w:t>
      </w:r>
    </w:p>
    <w:bookmarkEnd w:id="0"/>
    <w:p w:rsidR="00B43567" w:rsidRPr="007427E7" w:rsidRDefault="00B43567" w:rsidP="007427E7">
      <w:pPr>
        <w:pStyle w:val="a3"/>
        <w:shd w:val="clear" w:color="auto" w:fill="FFFFFF"/>
        <w:spacing w:before="0" w:beforeAutospacing="0" w:line="276" w:lineRule="auto"/>
        <w:jc w:val="both"/>
      </w:pPr>
      <w:r w:rsidRPr="007427E7">
        <w:rPr>
          <w:rStyle w:val="a4"/>
        </w:rPr>
        <w:t>Обязан ли продавец передать покупателю принадлежности и документы от купленного товара?</w:t>
      </w:r>
    </w:p>
    <w:p w:rsidR="00B43567" w:rsidRPr="007427E7" w:rsidRDefault="00B43567" w:rsidP="007427E7">
      <w:pPr>
        <w:pStyle w:val="a3"/>
        <w:shd w:val="clear" w:color="auto" w:fill="FFFFFF"/>
        <w:spacing w:before="0" w:beforeAutospacing="0" w:line="276" w:lineRule="auto"/>
        <w:jc w:val="both"/>
      </w:pPr>
      <w:r w:rsidRPr="007427E7">
        <w:t>Да, он должен сделать это одновременно с передачей купленной вещи, если иное не предусмотрено договором купли-продажи (</w:t>
      </w:r>
      <w:hyperlink r:id="rId5" w:anchor="block_4562" w:history="1">
        <w:r w:rsidRPr="007427E7">
          <w:rPr>
            <w:rStyle w:val="a5"/>
            <w:color w:val="auto"/>
          </w:rPr>
          <w:t>п. 2 ст. 456 ГК РФ</w:t>
        </w:r>
      </w:hyperlink>
      <w:r w:rsidRPr="007427E7">
        <w:t>). Если продавец не передает или отказывается передать покупателю относящиеся к товару принадлежности или документы, которые он должен передать, даже в установленный покупателем разумный срок для их передачи, то покупатель вправе отказаться от товара, если иное не предусмотрено договором (</w:t>
      </w:r>
      <w:hyperlink r:id="rId6" w:anchor="block_464" w:history="1">
        <w:r w:rsidRPr="007427E7">
          <w:rPr>
            <w:rStyle w:val="a5"/>
            <w:color w:val="auto"/>
          </w:rPr>
          <w:t>ст. 464 ГК РФ</w:t>
        </w:r>
      </w:hyperlink>
      <w:r w:rsidRPr="007427E7">
        <w:t>).</w:t>
      </w:r>
    </w:p>
    <w:p w:rsidR="00B43567" w:rsidRPr="007427E7" w:rsidRDefault="00B43567" w:rsidP="007427E7">
      <w:pPr>
        <w:pStyle w:val="a3"/>
        <w:shd w:val="clear" w:color="auto" w:fill="FFFFFF"/>
        <w:spacing w:before="0" w:beforeAutospacing="0" w:line="276" w:lineRule="auto"/>
        <w:jc w:val="both"/>
      </w:pPr>
      <w:r w:rsidRPr="007427E7">
        <w:rPr>
          <w:rStyle w:val="a4"/>
        </w:rPr>
        <w:t>Когда обязанность продавца передать товар покупателю считается исполненной?</w:t>
      </w:r>
    </w:p>
    <w:p w:rsidR="00B43567" w:rsidRPr="007427E7" w:rsidRDefault="00B43567" w:rsidP="007427E7">
      <w:pPr>
        <w:pStyle w:val="a3"/>
        <w:shd w:val="clear" w:color="auto" w:fill="FFFFFF"/>
        <w:spacing w:before="0" w:beforeAutospacing="0" w:line="276" w:lineRule="auto"/>
        <w:jc w:val="both"/>
      </w:pPr>
      <w:r w:rsidRPr="007427E7">
        <w:t>Если иное не предусмотрено договором купли-продажи, такая обязанность считается исполненной в момент: вручения товара покупателю или указанному им лицу (в случае доставки товара продавцом); предоставления товара в распоряжение покупателя, если товар должен быть передан покупателю или указанному им лицу в месте нахождения товара. Однако товар не признается готовым к передаче, если он не идентифицирован для целей договора путем маркировки или иным образом (</w:t>
      </w:r>
      <w:hyperlink r:id="rId7" w:anchor="block_4581" w:history="1">
        <w:r w:rsidRPr="007427E7">
          <w:rPr>
            <w:rStyle w:val="a5"/>
            <w:color w:val="auto"/>
          </w:rPr>
          <w:t>п. 1 ст. 458 ГК РФ</w:t>
        </w:r>
      </w:hyperlink>
      <w:r w:rsidRPr="007427E7">
        <w:t>).</w:t>
      </w:r>
    </w:p>
    <w:p w:rsidR="00B43567" w:rsidRPr="007427E7" w:rsidRDefault="00B43567" w:rsidP="007427E7">
      <w:pPr>
        <w:pStyle w:val="a3"/>
        <w:shd w:val="clear" w:color="auto" w:fill="FFFFFF"/>
        <w:spacing w:before="0" w:beforeAutospacing="0" w:line="276" w:lineRule="auto"/>
        <w:jc w:val="both"/>
      </w:pPr>
      <w:r w:rsidRPr="007427E7">
        <w:t>Если же из договора купли-продажи не вытекает обязанность продавца по доставке товара или передаче в месте его нахождения покупателю,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покупателю, если договором не предусмотрено иное (</w:t>
      </w:r>
      <w:hyperlink r:id="rId8" w:anchor="block_4582" w:history="1">
        <w:r w:rsidRPr="007427E7">
          <w:rPr>
            <w:rStyle w:val="a5"/>
            <w:color w:val="auto"/>
          </w:rPr>
          <w:t>п. 2 ст. 458 ГК РФ</w:t>
        </w:r>
      </w:hyperlink>
      <w:r w:rsidRPr="007427E7">
        <w:t>).</w:t>
      </w:r>
    </w:p>
    <w:p w:rsidR="00B43567" w:rsidRPr="007427E7" w:rsidRDefault="00B43567" w:rsidP="007427E7">
      <w:pPr>
        <w:pStyle w:val="a3"/>
        <w:shd w:val="clear" w:color="auto" w:fill="FFFFFF"/>
        <w:spacing w:before="0" w:beforeAutospacing="0" w:line="276" w:lineRule="auto"/>
        <w:jc w:val="both"/>
      </w:pPr>
      <w:r w:rsidRPr="007427E7">
        <w:rPr>
          <w:rStyle w:val="a4"/>
        </w:rPr>
        <w:t>Может ли продавец продать покупателю товар, обремененный правами третьих лиц?</w:t>
      </w:r>
    </w:p>
    <w:p w:rsidR="00B43567" w:rsidRPr="007427E7" w:rsidRDefault="00B43567" w:rsidP="007427E7">
      <w:pPr>
        <w:pStyle w:val="a3"/>
        <w:shd w:val="clear" w:color="auto" w:fill="FFFFFF"/>
        <w:spacing w:before="0" w:beforeAutospacing="0" w:line="276" w:lineRule="auto"/>
        <w:jc w:val="both"/>
      </w:pPr>
      <w:r w:rsidRPr="007427E7">
        <w:t>Да, если покупатель сам согласился принять такой товар. Но если последний не знал или не должен был знать о правах третьих лиц на купленный им товар, то он вправе требовать уменьшения цены товара либо расторжения договора купли-продажи (</w:t>
      </w:r>
      <w:hyperlink r:id="rId9" w:anchor="block_46001" w:history="1">
        <w:r w:rsidRPr="007427E7">
          <w:rPr>
            <w:rStyle w:val="a5"/>
            <w:color w:val="auto"/>
          </w:rPr>
          <w:t>п. 1 ст. 460 ГК РФ</w:t>
        </w:r>
      </w:hyperlink>
      <w:r w:rsidRPr="007427E7">
        <w:t>).</w:t>
      </w:r>
    </w:p>
    <w:p w:rsidR="00B43567" w:rsidRPr="007427E7" w:rsidRDefault="00B43567" w:rsidP="007427E7">
      <w:pPr>
        <w:pStyle w:val="a3"/>
        <w:shd w:val="clear" w:color="auto" w:fill="FFFFFF"/>
        <w:spacing w:before="0" w:beforeAutospacing="0" w:line="276" w:lineRule="auto"/>
        <w:jc w:val="both"/>
      </w:pPr>
      <w:r w:rsidRPr="007427E7">
        <w:rPr>
          <w:rStyle w:val="a4"/>
        </w:rPr>
        <w:t>Должен ли продавец уведомлять покупателя о том, что интересующий его товар был в употреблении?</w:t>
      </w:r>
    </w:p>
    <w:p w:rsidR="00B43567" w:rsidRPr="007427E7" w:rsidRDefault="00B43567" w:rsidP="007427E7">
      <w:pPr>
        <w:pStyle w:val="a3"/>
        <w:shd w:val="clear" w:color="auto" w:fill="FFFFFF"/>
        <w:spacing w:before="0" w:beforeAutospacing="0" w:line="276" w:lineRule="auto"/>
        <w:jc w:val="both"/>
      </w:pPr>
      <w:r w:rsidRPr="007427E7">
        <w:t>Да, если приобретаемый потребителем товар был в употреблении или в нем устранялся недостаток (недостатки), потребителю должна быть предоставлена информация об этом (</w:t>
      </w:r>
      <w:proofErr w:type="spellStart"/>
      <w:r w:rsidRPr="007427E7">
        <w:fldChar w:fldCharType="begin"/>
      </w:r>
      <w:r w:rsidRPr="007427E7">
        <w:instrText xml:space="preserve"> HYPERLINK "http://base.garant.ru/10106035/3d3a9e2eb4f30c73ea6671464e2a54b5/" \l "p_418" </w:instrText>
      </w:r>
      <w:r w:rsidRPr="007427E7">
        <w:fldChar w:fldCharType="separate"/>
      </w:r>
      <w:r w:rsidRPr="007427E7">
        <w:rPr>
          <w:rStyle w:val="a5"/>
          <w:color w:val="auto"/>
        </w:rPr>
        <w:t>абз</w:t>
      </w:r>
      <w:proofErr w:type="spellEnd"/>
      <w:r w:rsidRPr="007427E7">
        <w:rPr>
          <w:rStyle w:val="a5"/>
          <w:color w:val="auto"/>
        </w:rPr>
        <w:t>. 14 п. 2 ст. 10 Закона № 2300-I</w:t>
      </w:r>
      <w:r w:rsidRPr="007427E7">
        <w:fldChar w:fldCharType="end"/>
      </w:r>
      <w:r w:rsidRPr="007427E7">
        <w:t>).</w:t>
      </w:r>
    </w:p>
    <w:p w:rsidR="00B43567" w:rsidRPr="007427E7" w:rsidRDefault="00B43567" w:rsidP="007427E7">
      <w:pPr>
        <w:pStyle w:val="a3"/>
        <w:shd w:val="clear" w:color="auto" w:fill="FFFFFF"/>
        <w:spacing w:before="0" w:beforeAutospacing="0" w:line="276" w:lineRule="auto"/>
        <w:jc w:val="both"/>
      </w:pPr>
      <w:r w:rsidRPr="007427E7">
        <w:rPr>
          <w:rStyle w:val="a4"/>
        </w:rPr>
        <w:t xml:space="preserve">Все ли продавцы (исполнители, владельцы </w:t>
      </w:r>
      <w:proofErr w:type="spellStart"/>
      <w:r w:rsidRPr="007427E7">
        <w:rPr>
          <w:rStyle w:val="a4"/>
        </w:rPr>
        <w:t>агрегаторов</w:t>
      </w:r>
      <w:proofErr w:type="spellEnd"/>
      <w:r w:rsidRPr="007427E7">
        <w:rPr>
          <w:rStyle w:val="a4"/>
        </w:rPr>
        <w:t>) должны обеспечивать возможность оплаты товаров (работ, услуг) с использованием национальных платежных инструментов?</w:t>
      </w:r>
    </w:p>
    <w:p w:rsidR="00B43567" w:rsidRPr="007427E7" w:rsidRDefault="00B43567" w:rsidP="007427E7">
      <w:pPr>
        <w:pStyle w:val="a3"/>
        <w:shd w:val="clear" w:color="auto" w:fill="FFFFFF"/>
        <w:spacing w:before="0" w:beforeAutospacing="0" w:line="276" w:lineRule="auto"/>
        <w:jc w:val="both"/>
      </w:pPr>
      <w:r w:rsidRPr="007427E7">
        <w:t xml:space="preserve">Нет, только те, у которых выручка от реализации товаров (выполнения работ, оказания услуг) за предшествующий календарный год превышает 40 </w:t>
      </w:r>
      <w:proofErr w:type="gramStart"/>
      <w:r w:rsidRPr="007427E7">
        <w:t>млн</w:t>
      </w:r>
      <w:proofErr w:type="gramEnd"/>
      <w:r w:rsidRPr="007427E7">
        <w:t xml:space="preserve"> руб. Кроме того, продавец </w:t>
      </w:r>
      <w:r w:rsidRPr="007427E7">
        <w:lastRenderedPageBreak/>
        <w:t xml:space="preserve">(исполнитель) освобождается от обязанности обеспечить возможность оплаты товаров (работ, услуг) с использованием национальных платежных инструментов, если место оплаты находится на территории, где не предоставляются услуги доступа к Интернету, а также если выручка от реализации товаров в торговом объекте составляет менее 5 </w:t>
      </w:r>
      <w:proofErr w:type="gramStart"/>
      <w:r w:rsidRPr="007427E7">
        <w:t>млн</w:t>
      </w:r>
      <w:proofErr w:type="gramEnd"/>
      <w:r w:rsidRPr="007427E7">
        <w:t xml:space="preserve"> руб. за предшествующий календарный год (</w:t>
      </w:r>
      <w:proofErr w:type="spellStart"/>
      <w:r w:rsidRPr="007427E7">
        <w:fldChar w:fldCharType="begin"/>
      </w:r>
      <w:r w:rsidRPr="007427E7">
        <w:instrText xml:space="preserve"> HYPERLINK "http://base.garant.ru/10106035/266d182e188e4a6f2141e0546eeec17c/" \l "p_950684" </w:instrText>
      </w:r>
      <w:r w:rsidRPr="007427E7">
        <w:fldChar w:fldCharType="separate"/>
      </w:r>
      <w:r w:rsidRPr="007427E7">
        <w:rPr>
          <w:rStyle w:val="a5"/>
          <w:color w:val="auto"/>
        </w:rPr>
        <w:t>абз</w:t>
      </w:r>
      <w:proofErr w:type="spellEnd"/>
      <w:r w:rsidRPr="007427E7">
        <w:rPr>
          <w:rStyle w:val="a5"/>
          <w:color w:val="auto"/>
        </w:rPr>
        <w:t>. 2-4 п. 1 ст. 16.1 Закона № 2300-I</w:t>
      </w:r>
      <w:r w:rsidRPr="007427E7">
        <w:fldChar w:fldCharType="end"/>
      </w:r>
      <w:r w:rsidRPr="007427E7">
        <w:t>).</w:t>
      </w:r>
    </w:p>
    <w:p w:rsidR="00B43567" w:rsidRPr="007427E7" w:rsidRDefault="00B43567" w:rsidP="007427E7">
      <w:pPr>
        <w:pStyle w:val="a3"/>
        <w:shd w:val="clear" w:color="auto" w:fill="FFFFFF"/>
        <w:spacing w:before="0" w:beforeAutospacing="0" w:line="276" w:lineRule="auto"/>
        <w:jc w:val="both"/>
      </w:pPr>
      <w:r w:rsidRPr="007427E7">
        <w:rPr>
          <w:rStyle w:val="a4"/>
        </w:rPr>
        <w:t>Кто должен обеспечивать безопасность товара (работы) в течение установленного срока службы или срока годности товара (работы)?</w:t>
      </w:r>
    </w:p>
    <w:p w:rsidR="00B43567" w:rsidRPr="007427E7" w:rsidRDefault="00B43567" w:rsidP="007427E7">
      <w:pPr>
        <w:pStyle w:val="a3"/>
        <w:shd w:val="clear" w:color="auto" w:fill="FFFFFF"/>
        <w:spacing w:before="0" w:beforeAutospacing="0" w:line="276" w:lineRule="auto"/>
        <w:jc w:val="both"/>
      </w:pPr>
      <w:r w:rsidRPr="007427E7">
        <w:t>Такая обязанность лежит на изготовителе товара или исполнителе работы (</w:t>
      </w:r>
      <w:hyperlink r:id="rId10" w:anchor="block_702" w:history="1">
        <w:r w:rsidRPr="007427E7">
          <w:rPr>
            <w:rStyle w:val="a5"/>
            <w:color w:val="auto"/>
          </w:rPr>
          <w:t>п. 2 ст. 7 Закона № 2300-I</w:t>
        </w:r>
      </w:hyperlink>
      <w:r w:rsidRPr="007427E7">
        <w:t>).</w:t>
      </w:r>
    </w:p>
    <w:p w:rsidR="00B43567" w:rsidRPr="007427E7" w:rsidRDefault="00B43567" w:rsidP="007427E7">
      <w:pPr>
        <w:pStyle w:val="a3"/>
        <w:shd w:val="clear" w:color="auto" w:fill="FFFFFF"/>
        <w:spacing w:before="0" w:beforeAutospacing="0" w:line="276" w:lineRule="auto"/>
        <w:jc w:val="both"/>
      </w:pPr>
      <w:r w:rsidRPr="007427E7">
        <w:t> </w:t>
      </w:r>
    </w:p>
    <w:p w:rsidR="00B43567" w:rsidRPr="007427E7" w:rsidRDefault="00B43567" w:rsidP="007427E7">
      <w:pPr>
        <w:pStyle w:val="a3"/>
        <w:shd w:val="clear" w:color="auto" w:fill="FFFFFF"/>
        <w:spacing w:before="0" w:beforeAutospacing="0" w:line="276" w:lineRule="auto"/>
        <w:jc w:val="both"/>
      </w:pPr>
      <w:r w:rsidRPr="007427E7">
        <w:t> https://www.garant.ru/article/1451039/</w:t>
      </w:r>
    </w:p>
    <w:p w:rsidR="00F85804" w:rsidRPr="007427E7" w:rsidRDefault="00F85804" w:rsidP="007427E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85804" w:rsidRPr="00742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D54"/>
    <w:rsid w:val="00497D54"/>
    <w:rsid w:val="007427E7"/>
    <w:rsid w:val="00B43567"/>
    <w:rsid w:val="00F8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3567"/>
    <w:rPr>
      <w:b/>
      <w:bCs/>
    </w:rPr>
  </w:style>
  <w:style w:type="character" w:styleId="a5">
    <w:name w:val="Hyperlink"/>
    <w:basedOn w:val="a0"/>
    <w:uiPriority w:val="99"/>
    <w:semiHidden/>
    <w:unhideWhenUsed/>
    <w:rsid w:val="00B435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3567"/>
    <w:rPr>
      <w:b/>
      <w:bCs/>
    </w:rPr>
  </w:style>
  <w:style w:type="character" w:styleId="a5">
    <w:name w:val="Hyperlink"/>
    <w:basedOn w:val="a0"/>
    <w:uiPriority w:val="99"/>
    <w:semiHidden/>
    <w:unhideWhenUsed/>
    <w:rsid w:val="00B435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64072/c5d7e22302796d0fbce3e1ea872a6eeb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0164072/c5d7e22302796d0fbce3e1ea872a6eeb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10164072/b8aa1ad8dee361dff89b9861e3e1ff22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ase.garant.ru/10164072/3954d4c37b29dd512312a4e6328ca925/" TargetMode="External"/><Relationship Id="rId10" Type="http://schemas.openxmlformats.org/officeDocument/2006/relationships/hyperlink" Target="http://base.garant.ru/10106035/e88847e78ccd9fdb54482c7fa15982b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0164072/6fa2486d2912c9fb92498309da1d87e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Хлыстун А.В.</dc:creator>
  <cp:keywords/>
  <dc:description/>
  <cp:lastModifiedBy>Хлыстун А.В.</cp:lastModifiedBy>
  <cp:revision>3</cp:revision>
  <dcterms:created xsi:type="dcterms:W3CDTF">2026-01-29T14:50:00Z</dcterms:created>
  <dcterms:modified xsi:type="dcterms:W3CDTF">2026-01-29T15:00:00Z</dcterms:modified>
</cp:coreProperties>
</file>