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Заместителю главы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4000000">
      <w:r>
        <w:rPr>
          <w:sz w:val="28"/>
        </w:rPr>
        <w:t xml:space="preserve">                                                                             А.В.Сапсай</w:t>
      </w:r>
    </w:p>
    <w:p w14:paraId="05000000">
      <w:pPr>
        <w:pStyle w:val="Style_1"/>
        <w:spacing w:before="0"/>
        <w:ind/>
        <w:rPr>
          <w:b w:val="0"/>
          <w:spacing w:val="0"/>
        </w:rPr>
      </w:pP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0A000000">
      <w:pPr>
        <w:ind/>
        <w:jc w:val="center"/>
        <w:rPr>
          <w:b w:val="1"/>
          <w:color w:val="000000"/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</w:t>
      </w:r>
      <w:r>
        <w:rPr>
          <w:sz w:val="28"/>
        </w:rPr>
        <w:t>повторно 29</w:t>
      </w:r>
      <w:r>
        <w:rPr>
          <w:sz w:val="28"/>
        </w:rPr>
        <w:t xml:space="preserve"> </w:t>
      </w:r>
      <w:r>
        <w:rPr>
          <w:sz w:val="28"/>
        </w:rPr>
        <w:t>мая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проект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администрацией муниципального образования Выселковский район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среднюю</w:t>
      </w:r>
      <w:r>
        <w:rPr>
          <w:sz w:val="28"/>
        </w:rPr>
        <w:t xml:space="preserve">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1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повторно, после устранения замечаний, отраженных уполномоченным органом в отрицательном заключении от  05.05.2023г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5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8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9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A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регулирования: </w:t>
      </w:r>
    </w:p>
    <w:p w14:paraId="1B000000">
      <w:pPr>
        <w:pStyle w:val="Style_2"/>
        <w:ind w:firstLine="743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граждане, ведущие личное подсобно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хозяйство, крестьянские (фермерские) хозяйства, индивидуальные предприниматели;  </w:t>
      </w:r>
    </w:p>
    <w:p w14:paraId="1C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количественная оценка потенциальных адресатов правового регулирования –</w:t>
      </w:r>
      <w:r>
        <w:rPr>
          <w:rFonts w:ascii="Times New Roman" w:hAnsi="Times New Roman"/>
          <w:sz w:val="28"/>
        </w:rPr>
        <w:t>не ограничено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;</w:t>
      </w:r>
    </w:p>
    <w:p w14:paraId="1D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E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май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F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дополнительных расходов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 не предполагается;</w:t>
      </w:r>
    </w:p>
    <w:p w14:paraId="20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21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22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Граждане, ведущие личное подсобно</w:t>
      </w:r>
      <w:r>
        <w:rPr>
          <w:sz w:val="28"/>
        </w:rPr>
        <w:t>е</w:t>
      </w:r>
      <w:r>
        <w:rPr>
          <w:sz w:val="28"/>
        </w:rPr>
        <w:t xml:space="preserve"> хозяйство, крестьянские (фермерские) хозяйства, индивидуальные предприниматели.  </w:t>
      </w:r>
    </w:p>
    <w:p w14:paraId="24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5000000">
      <w:pPr>
        <w:ind w:firstLine="851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есоответствие</w:t>
      </w:r>
      <w:r>
        <w:rPr>
          <w:sz w:val="28"/>
        </w:rPr>
        <w:t xml:space="preserve"> федеральному и краевому законодательству.</w:t>
      </w:r>
    </w:p>
    <w:p w14:paraId="26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</w:t>
      </w:r>
      <w:r>
        <w:rPr>
          <w:rFonts w:ascii="Times New Roman" w:hAnsi="Times New Roman"/>
          <w:sz w:val="28"/>
        </w:rPr>
        <w:t xml:space="preserve">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закона Краснодарского края  от </w:t>
      </w:r>
      <w:r>
        <w:rPr>
          <w:rFonts w:ascii="Times New Roman" w:hAnsi="Times New Roman"/>
          <w:sz w:val="28"/>
        </w:rPr>
        <w:t>21 февраля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64-КЗ </w:t>
      </w:r>
      <w:r>
        <w:rPr>
          <w:rFonts w:ascii="Times New Roman" w:hAnsi="Times New Roman"/>
          <w:color w:val="000000"/>
          <w:sz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highlight w:val="white"/>
        </w:rPr>
        <w:t xml:space="preserve">О внесении изменений в статьи 6 и </w:t>
      </w:r>
      <w:r>
        <w:rPr>
          <w:rFonts w:ascii="Times New Roman" w:hAnsi="Times New Roman"/>
          <w:color w:val="000000"/>
          <w:sz w:val="28"/>
          <w:highlight w:val="white"/>
        </w:rPr>
        <w:t>6-2 Закона Краснодарского края «</w:t>
      </w:r>
      <w:r>
        <w:rPr>
          <w:rFonts w:ascii="Times New Roman" w:hAnsi="Times New Roman"/>
          <w:color w:val="000000"/>
          <w:sz w:val="28"/>
          <w:highlight w:val="white"/>
        </w:rPr>
        <w:t>О развитии сельского хозяйства в Краснодарском крае</w:t>
      </w:r>
      <w:r>
        <w:rPr>
          <w:rFonts w:ascii="Times New Roman" w:hAnsi="Times New Roman"/>
          <w:color w:val="000000"/>
          <w:sz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27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предлагаемого правового регулирования - </w:t>
      </w:r>
      <w:r>
        <w:rPr>
          <w:sz w:val="28"/>
        </w:rPr>
        <w:t xml:space="preserve">приведение </w:t>
      </w:r>
      <w:r>
        <w:rPr>
          <w:color w:val="000000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>
        <w:rPr>
          <w:sz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предпринимателям, осуществляющим деятельность в области   сельскохозяйственного    производства в соответствие с федеральным и краевым законодательством.</w:t>
      </w:r>
    </w:p>
    <w:p w14:paraId="29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A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изменяющие ранее предусмотренные муниципальными нормативными правовыми актами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обязательные требования</w:t>
      </w:r>
      <w:r>
        <w:rPr>
          <w:sz w:val="28"/>
        </w:rPr>
        <w:t xml:space="preserve"> для субъектов предпринимательской и </w:t>
      </w:r>
      <w:r>
        <w:rPr>
          <w:sz w:val="28"/>
        </w:rPr>
        <w:t xml:space="preserve">иной экономической деятельности, прав и обязанностей </w:t>
      </w:r>
      <w:r>
        <w:rPr>
          <w:sz w:val="28"/>
        </w:rPr>
        <w:t>инвестиционной деятельности</w:t>
      </w:r>
      <w:r>
        <w:rPr>
          <w:sz w:val="28"/>
        </w:rPr>
        <w:t>:</w:t>
      </w:r>
    </w:p>
    <w:p w14:paraId="2B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sz w:val="28"/>
        </w:rPr>
        <w:t xml:space="preserve">, включающий, в том числе, </w:t>
      </w:r>
      <w:r>
        <w:rPr>
          <w:sz w:val="28"/>
        </w:rPr>
        <w:t xml:space="preserve"> </w:t>
      </w:r>
      <w:r>
        <w:rPr>
          <w:sz w:val="28"/>
        </w:rPr>
        <w:t>пункт 2.6. раздела 2 «Порядок про</w:t>
      </w:r>
      <w:r>
        <w:rPr>
          <w:sz w:val="28"/>
        </w:rPr>
        <w:t xml:space="preserve">ведения отбора получателей субсидий для предоставления субсидий» </w:t>
      </w:r>
      <w:r>
        <w:rPr>
          <w:sz w:val="28"/>
        </w:rPr>
        <w:t xml:space="preserve"> устанавливающий т</w:t>
      </w:r>
      <w:r>
        <w:rPr>
          <w:sz w:val="28"/>
        </w:rPr>
        <w:t>ребования, предъявляемые к заявителям,</w:t>
      </w:r>
      <w:r>
        <w:rPr>
          <w:sz w:val="28"/>
        </w:rPr>
        <w:t xml:space="preserve"> </w:t>
      </w:r>
      <w:r>
        <w:rPr>
          <w:sz w:val="28"/>
        </w:rPr>
        <w:t>пункт 2.</w:t>
      </w:r>
      <w:r>
        <w:rPr>
          <w:sz w:val="28"/>
        </w:rPr>
        <w:t>7</w:t>
      </w:r>
      <w:r>
        <w:rPr>
          <w:sz w:val="28"/>
        </w:rPr>
        <w:t>. раздела 2 «Порядок проведения отбора получателей субсидий для предоставления субсидий»</w:t>
      </w:r>
      <w:r>
        <w:rPr>
          <w:sz w:val="28"/>
        </w:rPr>
        <w:t>, определяющий перечень 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оставляемых</w:t>
      </w:r>
      <w:r>
        <w:rPr>
          <w:sz w:val="28"/>
        </w:rPr>
        <w:t xml:space="preserve"> заявителям</w:t>
      </w:r>
      <w:r>
        <w:rPr>
          <w:sz w:val="28"/>
        </w:rPr>
        <w:t>и, изложен в новой редакции.</w:t>
      </w:r>
    </w:p>
    <w:p w14:paraId="2C000000">
      <w:pPr>
        <w:widowControl w:val="0"/>
        <w:tabs>
          <w:tab w:leader="none" w:pos="1560" w:val="left"/>
        </w:tabs>
        <w:ind/>
        <w:jc w:val="both"/>
        <w:outlineLvl w:val="0"/>
        <w:rPr>
          <w:sz w:val="28"/>
        </w:rPr>
      </w:pPr>
      <w:r>
        <w:rPr>
          <w:sz w:val="28"/>
        </w:rPr>
        <w:t xml:space="preserve">          </w:t>
      </w:r>
    </w:p>
    <w:p w14:paraId="2D000000">
      <w:pPr>
        <w:pStyle w:val="Style_7"/>
        <w:ind/>
        <w:jc w:val="both"/>
        <w:rPr>
          <w:b w:val="0"/>
          <w:sz w:val="28"/>
        </w:rPr>
      </w:pPr>
      <w:r>
        <w:tab/>
      </w:r>
      <w:r>
        <w:rPr>
          <w:b w:val="0"/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2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отсутствуют.</w:t>
      </w:r>
    </w:p>
    <w:p w14:paraId="2F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6</w:t>
      </w:r>
      <w:r>
        <w:rPr>
          <w:sz w:val="28"/>
        </w:rPr>
        <w:t xml:space="preserve">.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низкого уровня сложности (менее 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римерно </w:t>
      </w:r>
      <w:r>
        <w:rPr>
          <w:sz w:val="28"/>
        </w:rPr>
        <w:t>608,</w:t>
      </w:r>
      <w:r>
        <w:rPr>
          <w:sz w:val="28"/>
        </w:rPr>
        <w:t xml:space="preserve">26 </w:t>
      </w:r>
      <w:r>
        <w:rPr>
          <w:sz w:val="28"/>
        </w:rPr>
        <w:t>руб. на одного заявителя.</w:t>
      </w:r>
    </w:p>
    <w:p w14:paraId="30000000">
      <w:pPr>
        <w:pStyle w:val="Style_8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31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2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33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название требования: представление пакета документов, предусмотренного проектом;</w:t>
      </w:r>
    </w:p>
    <w:p w14:paraId="34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5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6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7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8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9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2</w:t>
      </w:r>
      <w:r>
        <w:rPr>
          <w:sz w:val="28"/>
        </w:rPr>
        <w:t xml:space="preserve"> чел./час; </w:t>
      </w:r>
    </w:p>
    <w:p w14:paraId="3A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51093,8 руб.;</w:t>
      </w:r>
    </w:p>
    <w:p w14:paraId="3B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304,13 руб. (51093,8 руб./21 рабочий день/8 час.);</w:t>
      </w:r>
    </w:p>
    <w:p w14:paraId="3C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общая стоимость требования: 608,26 руб. (304,13 руб./час </w:t>
      </w:r>
      <w:r>
        <w:rPr>
          <w:sz w:val="28"/>
        </w:rPr>
        <w:t>x</w:t>
      </w:r>
      <w:r>
        <w:rPr>
          <w:sz w:val="28"/>
        </w:rPr>
        <w:t xml:space="preserve"> </w:t>
      </w:r>
      <w:r>
        <w:rPr>
          <w:sz w:val="28"/>
        </w:rPr>
        <w:t>2 чел./час) на 1-го заявителя.</w:t>
      </w:r>
    </w:p>
    <w:p w14:paraId="3D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3E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3F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40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14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04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.04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41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9_ch"/>
          <w:sz w:val="28"/>
        </w:rPr>
        <w:fldChar w:fldCharType="begin"/>
      </w:r>
      <w:r>
        <w:rPr>
          <w:rStyle w:val="Style_9_ch"/>
          <w:sz w:val="28"/>
        </w:rPr>
        <w:instrText>HYPERLINK "http://viselki.net"</w:instrText>
      </w:r>
      <w:r>
        <w:rPr>
          <w:rStyle w:val="Style_9_ch"/>
          <w:sz w:val="28"/>
        </w:rPr>
        <w:fldChar w:fldCharType="separate"/>
      </w:r>
      <w:r>
        <w:rPr>
          <w:rStyle w:val="Style_9_ch"/>
          <w:sz w:val="28"/>
        </w:rPr>
        <w:t>http</w:t>
      </w:r>
      <w:r>
        <w:rPr>
          <w:rStyle w:val="Style_9_ch"/>
          <w:sz w:val="28"/>
        </w:rPr>
        <w:t>://</w:t>
      </w:r>
      <w:r>
        <w:rPr>
          <w:rStyle w:val="Style_9_ch"/>
          <w:sz w:val="28"/>
        </w:rPr>
        <w:t>viselki</w:t>
      </w:r>
      <w:r>
        <w:rPr>
          <w:rStyle w:val="Style_9_ch"/>
          <w:sz w:val="28"/>
        </w:rPr>
        <w:t>.</w:t>
      </w:r>
      <w:r>
        <w:rPr>
          <w:rStyle w:val="Style_9_ch"/>
          <w:sz w:val="28"/>
        </w:rPr>
        <w:t>net</w:t>
      </w:r>
      <w:r>
        <w:rPr>
          <w:rStyle w:val="Style_9_ch"/>
          <w:sz w:val="28"/>
        </w:rPr>
        <w:fldChar w:fldCharType="end"/>
      </w:r>
      <w:r>
        <w:rPr>
          <w:sz w:val="28"/>
        </w:rPr>
        <w:t>).</w:t>
      </w:r>
    </w:p>
    <w:p w14:paraId="42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3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4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45000000">
      <w:pPr>
        <w:rPr>
          <w:sz w:val="28"/>
        </w:rPr>
      </w:pPr>
    </w:p>
    <w:p w14:paraId="46000000">
      <w:pPr>
        <w:rPr>
          <w:sz w:val="28"/>
        </w:rPr>
      </w:pPr>
    </w:p>
    <w:p w14:paraId="47000000">
      <w:pPr>
        <w:rPr>
          <w:sz w:val="28"/>
        </w:rPr>
      </w:pPr>
      <w:r>
        <w:rPr>
          <w:sz w:val="28"/>
        </w:rPr>
        <w:t>Начальник отдела экономического развития,</w:t>
      </w:r>
    </w:p>
    <w:p w14:paraId="48000000">
      <w:pPr>
        <w:rPr>
          <w:sz w:val="28"/>
        </w:rPr>
      </w:pPr>
      <w:r>
        <w:rPr>
          <w:sz w:val="28"/>
        </w:rPr>
        <w:t>инвестиций и малого бизнеса администрации</w:t>
      </w:r>
    </w:p>
    <w:p w14:paraId="49000000">
      <w:pPr>
        <w:rPr>
          <w:sz w:val="28"/>
        </w:rPr>
      </w:pPr>
      <w:r>
        <w:rPr>
          <w:sz w:val="28"/>
        </w:rPr>
        <w:t xml:space="preserve">муниципального образования </w:t>
      </w:r>
      <w:r>
        <w:rPr>
          <w:sz w:val="28"/>
        </w:rPr>
        <w:t>Выселковский район                                 Н.В.Филь</w:t>
      </w:r>
      <w:r>
        <w:rPr>
          <w:color w:val="000000"/>
          <w:sz w:val="28"/>
        </w:rPr>
        <w:t xml:space="preserve">   </w:t>
      </w:r>
    </w:p>
    <w:p w14:paraId="4A000000">
      <w:pPr>
        <w:rPr>
          <w:color w:val="000000"/>
          <w:sz w:val="28"/>
        </w:rPr>
      </w:pPr>
    </w:p>
    <w:p w14:paraId="4B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30</w:t>
      </w:r>
      <w:r>
        <w:rPr>
          <w:color w:val="000000"/>
          <w:sz w:val="28"/>
        </w:rPr>
        <w:t>.05</w:t>
      </w:r>
      <w:r>
        <w:rPr>
          <w:color w:val="000000"/>
          <w:sz w:val="28"/>
        </w:rPr>
        <w:t>.2023</w:t>
      </w:r>
    </w:p>
    <w:p w14:paraId="4C000000">
      <w:pPr>
        <w:rPr>
          <w:color w:val="000000"/>
          <w:sz w:val="20"/>
        </w:rPr>
      </w:pPr>
    </w:p>
    <w:p w14:paraId="4D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Normal (Web)"/>
    <w:basedOn w:val="Style_10"/>
    <w:link w:val="Style_12_ch"/>
    <w:pPr>
      <w:spacing w:after="119" w:beforeAutospacing="on"/>
      <w:ind/>
    </w:pPr>
  </w:style>
  <w:style w:styleId="Style_12_ch" w:type="character">
    <w:name w:val="Normal (Web)"/>
    <w:basedOn w:val="Style_10_ch"/>
    <w:link w:val="Style_12"/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2" w:type="paragraph">
    <w:name w:val="Нормальный (таблица)"/>
    <w:basedOn w:val="Style_10"/>
    <w:next w:val="Style_10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10_ch"/>
    <w:link w:val="Style_2"/>
    <w:rPr>
      <w:rFonts w:ascii="Arial" w:hAnsi="Arial"/>
    </w:rPr>
  </w:style>
  <w:style w:styleId="Style_16" w:type="paragraph">
    <w:name w:val="heading 3"/>
    <w:next w:val="Style_10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7" w:type="paragraph">
    <w:name w:val="toc 3"/>
    <w:next w:val="Style_10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er"/>
    <w:basedOn w:val="Style_10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10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10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10"/>
    <w:next w:val="Style_10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10_ch"/>
    <w:link w:val="Style_1"/>
    <w:rPr>
      <w:b w:val="1"/>
      <w:color w:val="000000"/>
      <w:spacing w:val="-16"/>
      <w:sz w:val="28"/>
    </w:rPr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0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0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8" w:type="paragraph">
    <w:name w:val="Основной текст1"/>
    <w:basedOn w:val="Style_10"/>
    <w:link w:val="Style_8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8_ch" w:type="character">
    <w:name w:val="Основной текст1"/>
    <w:basedOn w:val="Style_10_ch"/>
    <w:link w:val="Style_8"/>
    <w:rPr>
      <w:color w:val="000000"/>
      <w:sz w:val="27"/>
    </w:rPr>
  </w:style>
  <w:style w:styleId="Style_25" w:type="paragraph">
    <w:name w:val="toc 8"/>
    <w:next w:val="Style_10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0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 Indent"/>
    <w:basedOn w:val="Style_10"/>
    <w:link w:val="Style_27_ch"/>
    <w:pPr>
      <w:ind w:firstLine="720" w:left="0"/>
      <w:jc w:val="both"/>
    </w:pPr>
    <w:rPr>
      <w:sz w:val="28"/>
    </w:rPr>
  </w:style>
  <w:style w:styleId="Style_27_ch" w:type="character">
    <w:name w:val="Body Text Indent"/>
    <w:basedOn w:val="Style_10_ch"/>
    <w:link w:val="Style_27"/>
    <w:rPr>
      <w:sz w:val="28"/>
    </w:rPr>
  </w:style>
  <w:style w:styleId="Style_28" w:type="paragraph">
    <w:name w:val="Subtitle"/>
    <w:next w:val="Style_10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10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10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Гипертекстовая ссылка"/>
    <w:link w:val="Style_31_ch"/>
    <w:rPr>
      <w:b w:val="1"/>
      <w:color w:val="106BBE"/>
    </w:rPr>
  </w:style>
  <w:style w:styleId="Style_31_ch" w:type="character">
    <w:name w:val="Гипертекстовая ссылка"/>
    <w:link w:val="Style_31"/>
    <w:rPr>
      <w:b w:val="1"/>
      <w:color w:val="106BBE"/>
    </w:rPr>
  </w:style>
  <w:style w:styleId="Style_32" w:type="paragraph">
    <w:name w:val="heading 2"/>
    <w:next w:val="Style_10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2023-05-30T09:02:10Z</dcterms:modified>
</cp:coreProperties>
</file>